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bookmarkStart w:id="0" w:name="_GoBack"/>
      <w:bookmarkEnd w:id="0"/>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r w:rsidRPr="00A764E7">
        <w:rPr>
          <w:rFonts w:ascii="Times New Roman" w:hAnsi="Times New Roman" w:cs="Times New Roman"/>
          <w:b/>
          <w:noProof/>
          <w:sz w:val="28"/>
          <w:szCs w:val="28"/>
          <w:lang w:eastAsia="ru-RU"/>
        </w:rPr>
        <w:drawing>
          <wp:inline distT="0" distB="0" distL="0" distR="0" wp14:anchorId="1A8822C9" wp14:editId="73AB34A9">
            <wp:extent cx="1847850" cy="1704949"/>
            <wp:effectExtent l="0" t="0" r="0" b="0"/>
            <wp:docPr id="1" name="Рисунок 1" descr="O:\информ технологий\_Общая папка отдела\Logo Minfin\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информ технологий\_Общая папка отдела\Logo Minfin\Logo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704949"/>
                    </a:xfrm>
                    <a:prstGeom prst="rect">
                      <a:avLst/>
                    </a:prstGeom>
                    <a:noFill/>
                    <a:ln>
                      <a:noFill/>
                    </a:ln>
                  </pic:spPr>
                </pic:pic>
              </a:graphicData>
            </a:graphic>
          </wp:inline>
        </w:drawing>
      </w: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r w:rsidRPr="00A764E7">
        <w:rPr>
          <w:rFonts w:ascii="Times New Roman" w:eastAsia="Times New Roman" w:hAnsi="Times New Roman" w:cs="Times New Roman"/>
          <w:b/>
          <w:bCs/>
          <w:caps/>
          <w:sz w:val="28"/>
          <w:szCs w:val="28"/>
          <w:lang w:eastAsia="ru-RU"/>
        </w:rPr>
        <w:t>основные направления</w:t>
      </w: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r w:rsidRPr="00A764E7">
        <w:rPr>
          <w:rFonts w:ascii="Times New Roman" w:eastAsia="Times New Roman" w:hAnsi="Times New Roman" w:cs="Times New Roman"/>
          <w:b/>
          <w:bCs/>
          <w:caps/>
          <w:sz w:val="28"/>
          <w:szCs w:val="28"/>
          <w:lang w:eastAsia="ru-RU"/>
        </w:rPr>
        <w:t>бюджетной и налоговой политики Республики Тыва</w:t>
      </w:r>
    </w:p>
    <w:p w:rsidR="00AD222F" w:rsidRPr="00A764E7" w:rsidRDefault="00AD222F" w:rsidP="00E00E37">
      <w:pPr>
        <w:tabs>
          <w:tab w:val="left" w:pos="993"/>
        </w:tabs>
        <w:spacing w:after="0" w:line="240" w:lineRule="auto"/>
        <w:jc w:val="center"/>
        <w:rPr>
          <w:rFonts w:ascii="Times New Roman" w:eastAsia="Times New Roman" w:hAnsi="Times New Roman" w:cs="Times New Roman"/>
          <w:b/>
          <w:bCs/>
          <w:caps/>
          <w:sz w:val="28"/>
          <w:szCs w:val="28"/>
          <w:lang w:eastAsia="ru-RU"/>
        </w:rPr>
      </w:pPr>
      <w:r w:rsidRPr="00A764E7">
        <w:rPr>
          <w:rFonts w:ascii="Times New Roman" w:eastAsia="Times New Roman" w:hAnsi="Times New Roman" w:cs="Times New Roman"/>
          <w:b/>
          <w:bCs/>
          <w:caps/>
          <w:sz w:val="28"/>
          <w:szCs w:val="28"/>
          <w:lang w:eastAsia="ru-RU"/>
        </w:rPr>
        <w:t>НА 202</w:t>
      </w:r>
      <w:r w:rsidR="00B77281" w:rsidRPr="00A764E7">
        <w:rPr>
          <w:rFonts w:ascii="Times New Roman" w:eastAsia="Times New Roman" w:hAnsi="Times New Roman" w:cs="Times New Roman"/>
          <w:b/>
          <w:bCs/>
          <w:caps/>
          <w:sz w:val="28"/>
          <w:szCs w:val="28"/>
          <w:lang w:eastAsia="ru-RU"/>
        </w:rPr>
        <w:t>5</w:t>
      </w:r>
      <w:r w:rsidRPr="00A764E7">
        <w:rPr>
          <w:rFonts w:ascii="Times New Roman" w:eastAsia="Times New Roman" w:hAnsi="Times New Roman" w:cs="Times New Roman"/>
          <w:b/>
          <w:bCs/>
          <w:caps/>
          <w:sz w:val="28"/>
          <w:szCs w:val="28"/>
          <w:lang w:eastAsia="ru-RU"/>
        </w:rPr>
        <w:t xml:space="preserve"> год и плановый период 202</w:t>
      </w:r>
      <w:r w:rsidR="00B77281" w:rsidRPr="00A764E7">
        <w:rPr>
          <w:rFonts w:ascii="Times New Roman" w:eastAsia="Times New Roman" w:hAnsi="Times New Roman" w:cs="Times New Roman"/>
          <w:b/>
          <w:bCs/>
          <w:caps/>
          <w:sz w:val="28"/>
          <w:szCs w:val="28"/>
          <w:lang w:eastAsia="ru-RU"/>
        </w:rPr>
        <w:t>6</w:t>
      </w:r>
      <w:r w:rsidRPr="00A764E7">
        <w:rPr>
          <w:rFonts w:ascii="Times New Roman" w:eastAsia="Times New Roman" w:hAnsi="Times New Roman" w:cs="Times New Roman"/>
          <w:b/>
          <w:bCs/>
          <w:caps/>
          <w:sz w:val="28"/>
          <w:szCs w:val="28"/>
          <w:lang w:eastAsia="ru-RU"/>
        </w:rPr>
        <w:t xml:space="preserve"> </w:t>
      </w:r>
      <w:r w:rsidRPr="00A764E7">
        <w:rPr>
          <w:rFonts w:ascii="Times New Roman" w:eastAsia="Times New Roman" w:hAnsi="Times New Roman" w:cs="Times New Roman"/>
          <w:b/>
          <w:bCs/>
          <w:sz w:val="28"/>
          <w:szCs w:val="28"/>
          <w:lang w:eastAsia="ru-RU"/>
        </w:rPr>
        <w:t>и</w:t>
      </w:r>
      <w:r w:rsidRPr="00A764E7">
        <w:rPr>
          <w:rFonts w:ascii="Times New Roman" w:eastAsia="Times New Roman" w:hAnsi="Times New Roman" w:cs="Times New Roman"/>
          <w:b/>
          <w:bCs/>
          <w:caps/>
          <w:sz w:val="28"/>
          <w:szCs w:val="28"/>
          <w:lang w:eastAsia="ru-RU"/>
        </w:rPr>
        <w:t xml:space="preserve"> 202</w:t>
      </w:r>
      <w:r w:rsidR="00B77281" w:rsidRPr="00A764E7">
        <w:rPr>
          <w:rFonts w:ascii="Times New Roman" w:eastAsia="Times New Roman" w:hAnsi="Times New Roman" w:cs="Times New Roman"/>
          <w:b/>
          <w:bCs/>
          <w:caps/>
          <w:sz w:val="28"/>
          <w:szCs w:val="28"/>
          <w:lang w:eastAsia="ru-RU"/>
        </w:rPr>
        <w:t>7</w:t>
      </w:r>
      <w:r w:rsidRPr="00A764E7">
        <w:rPr>
          <w:rFonts w:ascii="Times New Roman" w:eastAsia="Times New Roman" w:hAnsi="Times New Roman" w:cs="Times New Roman"/>
          <w:b/>
          <w:bCs/>
          <w:caps/>
          <w:sz w:val="28"/>
          <w:szCs w:val="28"/>
          <w:lang w:eastAsia="ru-RU"/>
        </w:rPr>
        <w:t xml:space="preserve"> годов</w:t>
      </w:r>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spacing w:after="0" w:line="240" w:lineRule="auto"/>
        <w:jc w:val="center"/>
        <w:rPr>
          <w:rFonts w:ascii="Times New Roman" w:eastAsia="Times New Roman" w:hAnsi="Times New Roman" w:cs="Times New Roman"/>
          <w:b/>
          <w:bCs/>
          <w:caps/>
          <w:sz w:val="28"/>
          <w:szCs w:val="28"/>
          <w:lang w:eastAsia="ru-RU"/>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p>
    <w:p w:rsidR="00AD222F" w:rsidRPr="00A764E7" w:rsidRDefault="00AD222F" w:rsidP="00E00E37">
      <w:pPr>
        <w:spacing w:after="0" w:line="240" w:lineRule="auto"/>
        <w:jc w:val="center"/>
        <w:rPr>
          <w:rFonts w:ascii="Times New Roman" w:hAnsi="Times New Roman" w:cs="Times New Roman"/>
          <w:b/>
          <w:sz w:val="28"/>
          <w:szCs w:val="28"/>
        </w:rPr>
      </w:pPr>
      <w:r w:rsidRPr="00A764E7">
        <w:rPr>
          <w:rFonts w:ascii="Times New Roman" w:hAnsi="Times New Roman" w:cs="Times New Roman"/>
          <w:b/>
          <w:sz w:val="28"/>
          <w:szCs w:val="28"/>
        </w:rPr>
        <w:t>г. Кызыл, 202</w:t>
      </w:r>
      <w:r w:rsidR="00577D90" w:rsidRPr="00A764E7">
        <w:rPr>
          <w:rFonts w:ascii="Times New Roman" w:hAnsi="Times New Roman" w:cs="Times New Roman"/>
          <w:b/>
          <w:sz w:val="28"/>
          <w:szCs w:val="28"/>
        </w:rPr>
        <w:t>4</w:t>
      </w:r>
      <w:r w:rsidRPr="00A764E7">
        <w:rPr>
          <w:rFonts w:ascii="Times New Roman" w:hAnsi="Times New Roman" w:cs="Times New Roman"/>
          <w:b/>
          <w:sz w:val="28"/>
          <w:szCs w:val="28"/>
        </w:rPr>
        <w:t xml:space="preserve"> год</w:t>
      </w:r>
      <w:r w:rsidRPr="00A764E7">
        <w:rPr>
          <w:rFonts w:ascii="Times New Roman" w:hAnsi="Times New Roman" w:cs="Times New Roman"/>
          <w:b/>
          <w:sz w:val="28"/>
          <w:szCs w:val="28"/>
        </w:rPr>
        <w:br w:type="page"/>
      </w:r>
    </w:p>
    <w:p w:rsidR="00AD222F" w:rsidRPr="00A764E7" w:rsidRDefault="00AD222F" w:rsidP="00E00E37">
      <w:pPr>
        <w:spacing w:after="0" w:line="240" w:lineRule="auto"/>
        <w:jc w:val="center"/>
        <w:rPr>
          <w:rFonts w:ascii="Times New Roman" w:hAnsi="Times New Roman" w:cs="Times New Roman"/>
          <w:b/>
          <w:sz w:val="28"/>
          <w:szCs w:val="28"/>
        </w:rPr>
      </w:pPr>
      <w:r w:rsidRPr="00A764E7">
        <w:rPr>
          <w:rFonts w:ascii="Times New Roman" w:hAnsi="Times New Roman" w:cs="Times New Roman"/>
          <w:b/>
          <w:sz w:val="28"/>
          <w:szCs w:val="28"/>
        </w:rPr>
        <w:lastRenderedPageBreak/>
        <w:t>Основные направления бюджетной и налоговой политики</w:t>
      </w:r>
    </w:p>
    <w:p w:rsidR="00AD222F" w:rsidRPr="00A764E7" w:rsidRDefault="00AD222F" w:rsidP="00E00E37">
      <w:pPr>
        <w:spacing w:after="0" w:line="240" w:lineRule="auto"/>
        <w:jc w:val="center"/>
        <w:rPr>
          <w:rFonts w:ascii="Times New Roman" w:hAnsi="Times New Roman" w:cs="Times New Roman"/>
          <w:b/>
          <w:sz w:val="28"/>
          <w:szCs w:val="28"/>
        </w:rPr>
      </w:pPr>
      <w:r w:rsidRPr="00A764E7">
        <w:rPr>
          <w:rFonts w:ascii="Times New Roman" w:hAnsi="Times New Roman" w:cs="Times New Roman"/>
          <w:b/>
          <w:sz w:val="28"/>
          <w:szCs w:val="28"/>
        </w:rPr>
        <w:t>Республики Тыва на 202</w:t>
      </w:r>
      <w:r w:rsidR="00B77281" w:rsidRPr="00A764E7">
        <w:rPr>
          <w:rFonts w:ascii="Times New Roman" w:hAnsi="Times New Roman" w:cs="Times New Roman"/>
          <w:b/>
          <w:sz w:val="28"/>
          <w:szCs w:val="28"/>
        </w:rPr>
        <w:t>5</w:t>
      </w:r>
      <w:r w:rsidRPr="00A764E7">
        <w:rPr>
          <w:rFonts w:ascii="Times New Roman" w:hAnsi="Times New Roman" w:cs="Times New Roman"/>
          <w:b/>
          <w:sz w:val="28"/>
          <w:szCs w:val="28"/>
        </w:rPr>
        <w:t xml:space="preserve"> год и на плановый период 202</w:t>
      </w:r>
      <w:r w:rsidR="00B77281" w:rsidRPr="00A764E7">
        <w:rPr>
          <w:rFonts w:ascii="Times New Roman" w:hAnsi="Times New Roman" w:cs="Times New Roman"/>
          <w:b/>
          <w:sz w:val="28"/>
          <w:szCs w:val="28"/>
        </w:rPr>
        <w:t>6</w:t>
      </w:r>
      <w:r w:rsidRPr="00A764E7">
        <w:rPr>
          <w:rFonts w:ascii="Times New Roman" w:hAnsi="Times New Roman" w:cs="Times New Roman"/>
          <w:b/>
          <w:sz w:val="28"/>
          <w:szCs w:val="28"/>
        </w:rPr>
        <w:t xml:space="preserve"> и 202</w:t>
      </w:r>
      <w:r w:rsidR="00B77281" w:rsidRPr="00A764E7">
        <w:rPr>
          <w:rFonts w:ascii="Times New Roman" w:hAnsi="Times New Roman" w:cs="Times New Roman"/>
          <w:b/>
          <w:sz w:val="28"/>
          <w:szCs w:val="28"/>
        </w:rPr>
        <w:t>7</w:t>
      </w:r>
      <w:r w:rsidRPr="00A764E7">
        <w:rPr>
          <w:rFonts w:ascii="Times New Roman" w:hAnsi="Times New Roman" w:cs="Times New Roman"/>
          <w:b/>
          <w:sz w:val="28"/>
          <w:szCs w:val="28"/>
        </w:rPr>
        <w:t xml:space="preserve"> годов</w:t>
      </w:r>
    </w:p>
    <w:p w:rsidR="00AD222F" w:rsidRPr="00A764E7" w:rsidRDefault="00AD222F" w:rsidP="00E00E37">
      <w:pPr>
        <w:spacing w:after="0" w:line="240" w:lineRule="auto"/>
        <w:jc w:val="both"/>
        <w:rPr>
          <w:rFonts w:ascii="Times New Roman" w:eastAsia="Times New Roman" w:hAnsi="Times New Roman" w:cs="Times New Roman"/>
          <w:sz w:val="28"/>
          <w:szCs w:val="28"/>
          <w:lang w:eastAsia="ru-RU"/>
        </w:rPr>
      </w:pPr>
    </w:p>
    <w:p w:rsidR="00AD222F" w:rsidRPr="00A764E7" w:rsidRDefault="00AD222F" w:rsidP="00E00E37">
      <w:pPr>
        <w:pStyle w:val="a3"/>
        <w:numPr>
          <w:ilvl w:val="0"/>
          <w:numId w:val="1"/>
        </w:numPr>
        <w:ind w:left="0" w:firstLine="0"/>
        <w:jc w:val="center"/>
        <w:rPr>
          <w:rFonts w:eastAsia="Times New Roman"/>
          <w:b/>
          <w:sz w:val="28"/>
          <w:szCs w:val="28"/>
          <w:lang w:eastAsia="ru-RU"/>
        </w:rPr>
      </w:pPr>
      <w:r w:rsidRPr="00A764E7">
        <w:rPr>
          <w:rFonts w:eastAsia="Times New Roman"/>
          <w:b/>
          <w:sz w:val="28"/>
          <w:szCs w:val="28"/>
          <w:lang w:eastAsia="ru-RU"/>
        </w:rPr>
        <w:t>Общие положения</w:t>
      </w:r>
    </w:p>
    <w:p w:rsidR="00446207" w:rsidRPr="00A764E7" w:rsidRDefault="00446207" w:rsidP="00E00E37">
      <w:pPr>
        <w:pStyle w:val="a3"/>
        <w:ind w:left="0"/>
        <w:rPr>
          <w:rFonts w:eastAsia="Times New Roman"/>
          <w:b/>
          <w:sz w:val="28"/>
          <w:szCs w:val="28"/>
          <w:lang w:eastAsia="ru-RU"/>
        </w:rPr>
      </w:pPr>
    </w:p>
    <w:p w:rsidR="00446207" w:rsidRPr="00A764E7" w:rsidRDefault="00446207" w:rsidP="00E00E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t xml:space="preserve">Основные направления бюджетной и налоговой политики Республики Тыва на 2025 год и на плановый период 2026 и 2027 годов (далее – Основные направления) подготовлены в соответствии со статьей 172 Бюджетного кодекса Российской Федерации, статьей 8 Закона Республики Тыва от </w:t>
      </w:r>
      <w:r w:rsidR="00870824" w:rsidRPr="00A764E7">
        <w:rPr>
          <w:rFonts w:ascii="Times New Roman" w:eastAsia="Times New Roman" w:hAnsi="Times New Roman" w:cs="Times New Roman"/>
          <w:sz w:val="28"/>
          <w:szCs w:val="28"/>
          <w:lang w:eastAsia="ru-RU"/>
        </w:rPr>
        <w:t>02.11.</w:t>
      </w:r>
      <w:r w:rsidRPr="00A764E7">
        <w:rPr>
          <w:rFonts w:ascii="Times New Roman" w:eastAsia="Times New Roman" w:hAnsi="Times New Roman" w:cs="Times New Roman"/>
          <w:sz w:val="28"/>
          <w:szCs w:val="28"/>
          <w:lang w:eastAsia="ru-RU"/>
        </w:rPr>
        <w:t xml:space="preserve">2010 № 39 ВХ-1 «О бюджетном процессе в Республике Тыва» с учетом итогов реализации бюджетной и налоговой политики </w:t>
      </w:r>
      <w:r w:rsidR="00870824" w:rsidRPr="00A764E7">
        <w:rPr>
          <w:rFonts w:ascii="Times New Roman" w:eastAsia="Times New Roman" w:hAnsi="Times New Roman" w:cs="Times New Roman"/>
          <w:sz w:val="28"/>
          <w:szCs w:val="28"/>
          <w:lang w:eastAsia="ru-RU"/>
        </w:rPr>
        <w:t>в</w:t>
      </w:r>
      <w:r w:rsidRPr="00A764E7">
        <w:rPr>
          <w:rFonts w:ascii="Times New Roman" w:eastAsia="Times New Roman" w:hAnsi="Times New Roman" w:cs="Times New Roman"/>
          <w:sz w:val="28"/>
          <w:szCs w:val="28"/>
          <w:lang w:eastAsia="ru-RU"/>
        </w:rPr>
        <w:t xml:space="preserve"> 202</w:t>
      </w:r>
      <w:r w:rsidR="00870824" w:rsidRPr="00A764E7">
        <w:rPr>
          <w:rFonts w:ascii="Times New Roman" w:eastAsia="Times New Roman" w:hAnsi="Times New Roman" w:cs="Times New Roman"/>
          <w:sz w:val="28"/>
          <w:szCs w:val="28"/>
          <w:lang w:eastAsia="ru-RU"/>
        </w:rPr>
        <w:t>3-2024</w:t>
      </w:r>
      <w:r w:rsidRPr="00A764E7">
        <w:rPr>
          <w:rFonts w:ascii="Times New Roman" w:eastAsia="Times New Roman" w:hAnsi="Times New Roman" w:cs="Times New Roman"/>
          <w:sz w:val="28"/>
          <w:szCs w:val="28"/>
          <w:lang w:eastAsia="ru-RU"/>
        </w:rPr>
        <w:t xml:space="preserve"> г</w:t>
      </w:r>
      <w:r w:rsidR="00870824" w:rsidRPr="00A764E7">
        <w:rPr>
          <w:rFonts w:ascii="Times New Roman" w:eastAsia="Times New Roman" w:hAnsi="Times New Roman" w:cs="Times New Roman"/>
          <w:sz w:val="28"/>
          <w:szCs w:val="28"/>
          <w:lang w:eastAsia="ru-RU"/>
        </w:rPr>
        <w:t>одах.</w:t>
      </w:r>
    </w:p>
    <w:p w:rsidR="00446207" w:rsidRPr="00A764E7" w:rsidRDefault="00446207" w:rsidP="00E00E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t xml:space="preserve">При подготовке Основных направлений учтены положения Указов Президента Российской Федерации от </w:t>
      </w:r>
      <w:r w:rsidR="00870824" w:rsidRPr="00A764E7">
        <w:rPr>
          <w:rFonts w:ascii="Times New Roman" w:eastAsia="Times New Roman" w:hAnsi="Times New Roman" w:cs="Times New Roman"/>
          <w:sz w:val="28"/>
          <w:szCs w:val="28"/>
          <w:lang w:eastAsia="ru-RU"/>
        </w:rPr>
        <w:t>07.05.</w:t>
      </w:r>
      <w:r w:rsidRPr="00A764E7">
        <w:rPr>
          <w:rFonts w:ascii="Times New Roman" w:eastAsia="Times New Roman" w:hAnsi="Times New Roman" w:cs="Times New Roman"/>
          <w:sz w:val="28"/>
          <w:szCs w:val="28"/>
          <w:lang w:eastAsia="ru-RU"/>
        </w:rPr>
        <w:t>2024 № 309 «О национальных целях развития Российской Федерации на период до 2030 года и на перспективу до 2036 года», Единого плана по достижению национальных целей развития Российской Федерации на период до 2024 года и на плановый период до 2030 года, с</w:t>
      </w:r>
      <w:r w:rsidRPr="00A764E7">
        <w:rPr>
          <w:rFonts w:ascii="Times New Roman" w:hAnsi="Times New Roman" w:cs="Times New Roman"/>
          <w:sz w:val="28"/>
          <w:szCs w:val="28"/>
        </w:rPr>
        <w:t>тратегии социально-экономического развития Республики Тыва до 2030 года, п</w:t>
      </w:r>
      <w:r w:rsidRPr="00A764E7">
        <w:rPr>
          <w:rFonts w:ascii="Times New Roman" w:eastAsia="Times New Roman" w:hAnsi="Times New Roman" w:cs="Times New Roman"/>
          <w:sz w:val="28"/>
          <w:szCs w:val="28"/>
          <w:lang w:eastAsia="ru-RU"/>
        </w:rPr>
        <w:t>рогноза социально-экономического развития Республики Тыва на 2025 год и плановый период 2026 и 2027 годов.</w:t>
      </w:r>
    </w:p>
    <w:p w:rsidR="00446207" w:rsidRPr="00A764E7" w:rsidRDefault="00446207" w:rsidP="00E00E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t>Основные направления являются базой для формирования бюджета Республики Тыва на 2025 год и на плановый период 2026 и 2027 годов и определяют стратегию действий Правительства Республики Тыва в части доходов, расходов бюджета и межбюджетных отношений.</w:t>
      </w:r>
    </w:p>
    <w:p w:rsidR="00446207" w:rsidRPr="00A764E7" w:rsidRDefault="00446207" w:rsidP="00E00E37">
      <w:pPr>
        <w:spacing w:after="0" w:line="240" w:lineRule="auto"/>
        <w:ind w:firstLine="709"/>
        <w:jc w:val="both"/>
        <w:textAlignment w:val="baseline"/>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t xml:space="preserve">Приоритетными задачами бюджетной и налоговой политики Республики Тыва являются </w:t>
      </w:r>
      <w:r w:rsidR="00A764E7" w:rsidRPr="00A764E7">
        <w:rPr>
          <w:rFonts w:ascii="Times New Roman" w:eastAsia="Times New Roman" w:hAnsi="Times New Roman" w:cs="Times New Roman"/>
          <w:sz w:val="28"/>
          <w:szCs w:val="28"/>
          <w:lang w:eastAsia="ru-RU"/>
        </w:rPr>
        <w:t xml:space="preserve">обеспечение сбалансированности бюджетов всех уровней в Республике Тыва, </w:t>
      </w:r>
      <w:r w:rsidRPr="00A764E7">
        <w:rPr>
          <w:rFonts w:ascii="Times New Roman" w:eastAsia="Times New Roman" w:hAnsi="Times New Roman" w:cs="Times New Roman"/>
          <w:sz w:val="28"/>
          <w:szCs w:val="28"/>
          <w:lang w:eastAsia="ru-RU"/>
        </w:rPr>
        <w:t xml:space="preserve">своевременное выполнение социальных </w:t>
      </w:r>
      <w:r w:rsidR="00A764E7" w:rsidRPr="00A764E7">
        <w:rPr>
          <w:rFonts w:ascii="Times New Roman" w:eastAsia="Times New Roman" w:hAnsi="Times New Roman" w:cs="Times New Roman"/>
          <w:sz w:val="28"/>
          <w:szCs w:val="28"/>
          <w:lang w:eastAsia="ru-RU"/>
        </w:rPr>
        <w:t xml:space="preserve">и первоочередных </w:t>
      </w:r>
      <w:r w:rsidRPr="00A764E7">
        <w:rPr>
          <w:rFonts w:ascii="Times New Roman" w:eastAsia="Times New Roman" w:hAnsi="Times New Roman" w:cs="Times New Roman"/>
          <w:sz w:val="28"/>
          <w:szCs w:val="28"/>
          <w:lang w:eastAsia="ru-RU"/>
        </w:rPr>
        <w:t>обязательств перед населением</w:t>
      </w:r>
      <w:r w:rsidR="00A764E7" w:rsidRPr="00A764E7">
        <w:rPr>
          <w:rFonts w:ascii="Times New Roman" w:eastAsia="Times New Roman" w:hAnsi="Times New Roman" w:cs="Times New Roman"/>
          <w:sz w:val="28"/>
          <w:szCs w:val="28"/>
          <w:lang w:eastAsia="ru-RU"/>
        </w:rPr>
        <w:t xml:space="preserve"> в целях</w:t>
      </w:r>
      <w:r w:rsidRPr="00A764E7">
        <w:rPr>
          <w:rFonts w:ascii="Times New Roman" w:eastAsia="Times New Roman" w:hAnsi="Times New Roman" w:cs="Times New Roman"/>
          <w:sz w:val="28"/>
          <w:szCs w:val="28"/>
          <w:lang w:eastAsia="ru-RU"/>
        </w:rPr>
        <w:t xml:space="preserve"> повышени</w:t>
      </w:r>
      <w:r w:rsidR="00A764E7" w:rsidRPr="00A764E7">
        <w:rPr>
          <w:rFonts w:ascii="Times New Roman" w:eastAsia="Times New Roman" w:hAnsi="Times New Roman" w:cs="Times New Roman"/>
          <w:sz w:val="28"/>
          <w:szCs w:val="28"/>
          <w:lang w:eastAsia="ru-RU"/>
        </w:rPr>
        <w:t>я</w:t>
      </w:r>
      <w:r w:rsidRPr="00A764E7">
        <w:rPr>
          <w:rFonts w:ascii="Times New Roman" w:eastAsia="Times New Roman" w:hAnsi="Times New Roman" w:cs="Times New Roman"/>
          <w:sz w:val="28"/>
          <w:szCs w:val="28"/>
          <w:lang w:eastAsia="ru-RU"/>
        </w:rPr>
        <w:t xml:space="preserve"> качества жизни и благосостояния граждан. В сложившихся условиях необходимо проведение оценки имеющихся ресурсов для выполнения принятых расходных обязательств, а также реализац</w:t>
      </w:r>
      <w:r w:rsidR="00A764E7" w:rsidRPr="00A764E7">
        <w:rPr>
          <w:rFonts w:ascii="Times New Roman" w:eastAsia="Times New Roman" w:hAnsi="Times New Roman" w:cs="Times New Roman"/>
          <w:sz w:val="28"/>
          <w:szCs w:val="28"/>
          <w:lang w:eastAsia="ru-RU"/>
        </w:rPr>
        <w:t>ии</w:t>
      </w:r>
      <w:r w:rsidRPr="00A764E7">
        <w:rPr>
          <w:rFonts w:ascii="Times New Roman" w:eastAsia="Times New Roman" w:hAnsi="Times New Roman" w:cs="Times New Roman"/>
          <w:sz w:val="28"/>
          <w:szCs w:val="28"/>
          <w:lang w:eastAsia="ru-RU"/>
        </w:rPr>
        <w:t xml:space="preserve"> новых проектов в целях повышения и укрепления экономического потенциала региона, определение приоритетов финансовых ресурсов на наиболее перспективных направлениях социально-экономического развития с учетом федеральной поддержки.</w:t>
      </w:r>
    </w:p>
    <w:p w:rsidR="00446207" w:rsidRPr="00A764E7" w:rsidRDefault="00446207" w:rsidP="00E00E37">
      <w:pPr>
        <w:spacing w:after="0" w:line="240" w:lineRule="auto"/>
        <w:ind w:firstLine="709"/>
        <w:jc w:val="both"/>
        <w:textAlignment w:val="baseline"/>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t>Восстановление экономической активности протекает более динамичными темпами, чем прогнозировалось ранее: по уточненн</w:t>
      </w:r>
      <w:r w:rsidR="00A764E7" w:rsidRPr="00A764E7">
        <w:rPr>
          <w:rFonts w:ascii="Times New Roman" w:eastAsia="Times New Roman" w:hAnsi="Times New Roman" w:cs="Times New Roman"/>
          <w:sz w:val="28"/>
          <w:szCs w:val="28"/>
          <w:lang w:eastAsia="ru-RU"/>
        </w:rPr>
        <w:t xml:space="preserve">ым статистическим данным объем </w:t>
      </w:r>
      <w:r w:rsidRPr="00A764E7">
        <w:rPr>
          <w:rFonts w:ascii="Times New Roman" w:eastAsia="Times New Roman" w:hAnsi="Times New Roman" w:cs="Times New Roman"/>
          <w:sz w:val="28"/>
          <w:szCs w:val="28"/>
          <w:lang w:eastAsia="ru-RU"/>
        </w:rPr>
        <w:t>валового регионального продукта Республики Тыва (далее – ВРП) по итогам 2022 года составил 107,78 млрд. рублей с ростом на 17,8% к уровню 2021 года</w:t>
      </w:r>
      <w:r w:rsidR="00A764E7" w:rsidRPr="00A764E7">
        <w:rPr>
          <w:rFonts w:ascii="Times New Roman" w:eastAsia="Times New Roman" w:hAnsi="Times New Roman" w:cs="Times New Roman"/>
          <w:sz w:val="28"/>
          <w:szCs w:val="28"/>
          <w:lang w:eastAsia="ru-RU"/>
        </w:rPr>
        <w:t xml:space="preserve"> (2021 г. – 91,53 млрд. рублей)</w:t>
      </w:r>
      <w:r w:rsidRPr="00A764E7">
        <w:rPr>
          <w:rFonts w:ascii="Times New Roman" w:eastAsia="Times New Roman" w:hAnsi="Times New Roman" w:cs="Times New Roman"/>
          <w:sz w:val="28"/>
          <w:szCs w:val="28"/>
          <w:lang w:eastAsia="ru-RU"/>
        </w:rPr>
        <w:t xml:space="preserve">. Наибольшее влияние на рост ВРП в 2022 году оказала промышленность, преимущественно добывающая. </w:t>
      </w:r>
    </w:p>
    <w:p w:rsidR="00446207" w:rsidRPr="00A764E7" w:rsidRDefault="00446207" w:rsidP="00E00E37">
      <w:pPr>
        <w:spacing w:after="0" w:line="240" w:lineRule="auto"/>
        <w:ind w:firstLine="709"/>
        <w:jc w:val="both"/>
        <w:textAlignment w:val="baseline"/>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t>В 2023 году валовой региональный продукт составил 118,1 млрд. рублей с ростом на 3,8% в сопоставимых ценах, в структуре ВРП основное влияние сохранится за добывающей промышленностью.</w:t>
      </w:r>
    </w:p>
    <w:p w:rsidR="00A44FBA" w:rsidRPr="00A764E7" w:rsidRDefault="00A44FBA" w:rsidP="00E00E37">
      <w:pPr>
        <w:spacing w:after="0" w:line="240" w:lineRule="auto"/>
        <w:ind w:firstLine="709"/>
        <w:jc w:val="both"/>
        <w:textAlignment w:val="baseline"/>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lastRenderedPageBreak/>
        <w:t>По итогам 2024 года объем ВРП ожидается в сумме 123,6 млрд. рублей, с ростом к уровню 2023 года на 5% или 5,5 млрд. рублей. С 2025 года ожидается умеренный рост объема ВРП с учетом стабилизации макроэкономических условий и развития отраслей экономики.</w:t>
      </w:r>
    </w:p>
    <w:p w:rsidR="00446207" w:rsidRPr="00A764E7" w:rsidRDefault="00446207" w:rsidP="00E00E37">
      <w:pPr>
        <w:spacing w:after="0" w:line="240" w:lineRule="auto"/>
        <w:ind w:firstLine="709"/>
        <w:jc w:val="both"/>
        <w:textAlignment w:val="baseline"/>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t>На формирование положительной динамики данного показателя на период до 2027 года повлияет реализация инвестиционных проектов, прежде всего в сфере промышленности, электроэнергетики, строительства и транспорта.</w:t>
      </w:r>
    </w:p>
    <w:p w:rsidR="00A44FBA" w:rsidRPr="00A764E7" w:rsidRDefault="00A44FBA" w:rsidP="00E00E37">
      <w:pPr>
        <w:spacing w:after="0" w:line="240" w:lineRule="auto"/>
        <w:ind w:firstLine="709"/>
        <w:jc w:val="both"/>
        <w:textAlignment w:val="baseline"/>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t>Продолжится реализация Индивидуальной программы социально-экономического развития Республики Тыва на период 2025-2030 годы с общим объемом поддержки из федерального бюджета в сумме 6 млрд. рублей, в рамках которой предусматриваются разные механизмы поддержки проектов в сфере промышленности, сельского хозяйства, туризма и предпринимательства.</w:t>
      </w:r>
    </w:p>
    <w:p w:rsidR="00A44FBA" w:rsidRPr="00ED6862" w:rsidRDefault="00A44FBA" w:rsidP="00E00E37">
      <w:pPr>
        <w:spacing w:after="0" w:line="240" w:lineRule="auto"/>
        <w:ind w:firstLine="709"/>
        <w:jc w:val="both"/>
        <w:textAlignment w:val="baseline"/>
        <w:rPr>
          <w:rFonts w:ascii="Times New Roman" w:eastAsia="Times New Roman" w:hAnsi="Times New Roman" w:cs="Times New Roman"/>
          <w:sz w:val="28"/>
          <w:szCs w:val="28"/>
          <w:lang w:eastAsia="ru-RU"/>
        </w:rPr>
      </w:pPr>
      <w:r w:rsidRPr="00A764E7">
        <w:rPr>
          <w:rFonts w:ascii="Times New Roman" w:eastAsia="Times New Roman" w:hAnsi="Times New Roman" w:cs="Times New Roman"/>
          <w:sz w:val="28"/>
          <w:szCs w:val="28"/>
          <w:lang w:eastAsia="ru-RU"/>
        </w:rPr>
        <w:t xml:space="preserve">Сохранилась положительная динамика темпов роста заработной платы. Фонд заработной платы на 2025 год сформирован с учетом повышения минимального размера оплаты труда с 1 января 2025 года на 16,5 %  </w:t>
      </w:r>
      <w:r w:rsidRPr="00A764E7">
        <w:rPr>
          <w:rFonts w:ascii="Times New Roman" w:eastAsia="Times New Roman" w:hAnsi="Times New Roman" w:cs="Times New Roman"/>
          <w:i/>
          <w:sz w:val="28"/>
          <w:szCs w:val="28"/>
          <w:lang w:eastAsia="ru-RU"/>
        </w:rPr>
        <w:t>(с 36 560 до 42 636 рублей)</w:t>
      </w:r>
      <w:r w:rsidRPr="00A764E7">
        <w:rPr>
          <w:rFonts w:ascii="Times New Roman" w:eastAsia="Times New Roman" w:hAnsi="Times New Roman" w:cs="Times New Roman"/>
          <w:sz w:val="28"/>
          <w:szCs w:val="28"/>
          <w:lang w:eastAsia="ru-RU"/>
        </w:rPr>
        <w:t>, оплаты труда «указных» категорий работников – на 6%, индексации оплаты труда – на 5,1%, индексации оплаты труда органов исполнительной власти, органов местного самоуправления – на 9,7%</w:t>
      </w:r>
      <w:r w:rsidRPr="00A764E7">
        <w:rPr>
          <w:rFonts w:ascii="Times New Roman" w:eastAsia="Times New Roman" w:hAnsi="Times New Roman" w:cs="Times New Roman"/>
          <w:i/>
          <w:sz w:val="28"/>
          <w:szCs w:val="28"/>
          <w:lang w:eastAsia="ru-RU"/>
        </w:rPr>
        <w:t xml:space="preserve"> (с 1 января 2025 года индексация в соответствии с подходами, принятыми на федеральном уровне в 2024 году)</w:t>
      </w:r>
      <w:r w:rsidRPr="00A764E7">
        <w:rPr>
          <w:rFonts w:ascii="Times New Roman" w:eastAsia="Times New Roman" w:hAnsi="Times New Roman" w:cs="Times New Roman"/>
          <w:sz w:val="28"/>
          <w:szCs w:val="28"/>
          <w:lang w:eastAsia="ru-RU"/>
        </w:rPr>
        <w:t xml:space="preserve">. Индексация должностных окладов  на 5,1% коснется всех категорий работников, за исключением «указных» категорий и работников, </w:t>
      </w:r>
      <w:r w:rsidRPr="00ED6862">
        <w:rPr>
          <w:rFonts w:ascii="Times New Roman" w:eastAsia="Times New Roman" w:hAnsi="Times New Roman" w:cs="Times New Roman"/>
          <w:sz w:val="28"/>
          <w:szCs w:val="28"/>
          <w:lang w:eastAsia="ru-RU"/>
        </w:rPr>
        <w:t>получающих минимальный размер оплаты труда.</w:t>
      </w:r>
    </w:p>
    <w:p w:rsidR="00777450" w:rsidRPr="00ED6862" w:rsidRDefault="00777450" w:rsidP="00E00E37">
      <w:pPr>
        <w:pStyle w:val="a3"/>
        <w:suppressAutoHyphens/>
        <w:ind w:left="1069"/>
        <w:jc w:val="center"/>
        <w:rPr>
          <w:b/>
          <w:sz w:val="28"/>
          <w:szCs w:val="28"/>
        </w:rPr>
      </w:pPr>
    </w:p>
    <w:p w:rsidR="0075661C" w:rsidRPr="00ED6862" w:rsidRDefault="00446207" w:rsidP="0075661C">
      <w:pPr>
        <w:pStyle w:val="a3"/>
        <w:numPr>
          <w:ilvl w:val="0"/>
          <w:numId w:val="1"/>
        </w:numPr>
        <w:suppressAutoHyphens/>
        <w:ind w:left="0" w:firstLine="0"/>
        <w:jc w:val="center"/>
        <w:rPr>
          <w:b/>
          <w:sz w:val="28"/>
          <w:szCs w:val="28"/>
        </w:rPr>
      </w:pPr>
      <w:r w:rsidRPr="00ED6862">
        <w:rPr>
          <w:b/>
          <w:sz w:val="28"/>
          <w:szCs w:val="28"/>
        </w:rPr>
        <w:t xml:space="preserve">Итоги реализации налоговой политики Республики Тыва </w:t>
      </w:r>
    </w:p>
    <w:p w:rsidR="00446207" w:rsidRPr="00ED6862" w:rsidRDefault="00446207" w:rsidP="0075661C">
      <w:pPr>
        <w:pStyle w:val="a3"/>
        <w:suppressAutoHyphens/>
        <w:ind w:left="0"/>
        <w:jc w:val="center"/>
        <w:rPr>
          <w:b/>
          <w:sz w:val="28"/>
          <w:szCs w:val="28"/>
        </w:rPr>
      </w:pPr>
      <w:r w:rsidRPr="00ED6862">
        <w:rPr>
          <w:b/>
          <w:sz w:val="28"/>
          <w:szCs w:val="28"/>
        </w:rPr>
        <w:t>в 2023- 2024 годах</w:t>
      </w:r>
    </w:p>
    <w:p w:rsidR="00446207" w:rsidRPr="00ED6862" w:rsidRDefault="00446207" w:rsidP="00E00E37">
      <w:pPr>
        <w:pStyle w:val="a3"/>
        <w:suppressAutoHyphens/>
        <w:rPr>
          <w:b/>
          <w:sz w:val="28"/>
          <w:szCs w:val="28"/>
        </w:rPr>
      </w:pPr>
    </w:p>
    <w:p w:rsidR="00A44FBA" w:rsidRPr="00ED6862" w:rsidRDefault="00A44FBA"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Основными задачами налоговой политики, проводимой в 2023-2024 годах, являлись восстановление экономической активности, привлечение в экономику региона частных инвестиций и мобилизация доходов консолидированного бюджета республики.</w:t>
      </w:r>
    </w:p>
    <w:p w:rsidR="00A44FBA" w:rsidRPr="00ED6862" w:rsidRDefault="00A44FBA"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В 2023-2024 годах в целях увеличения доходов консолидированного бюджета приняты решения по следующим направлениям.</w:t>
      </w:r>
    </w:p>
    <w:p w:rsidR="00A44FBA" w:rsidRPr="00ED6862" w:rsidRDefault="00A44FBA" w:rsidP="00E00E37">
      <w:pPr>
        <w:pStyle w:val="a3"/>
        <w:numPr>
          <w:ilvl w:val="0"/>
          <w:numId w:val="3"/>
        </w:numPr>
        <w:suppressAutoHyphens/>
        <w:ind w:left="0" w:firstLine="709"/>
        <w:jc w:val="both"/>
        <w:rPr>
          <w:i/>
          <w:sz w:val="28"/>
          <w:szCs w:val="28"/>
        </w:rPr>
      </w:pPr>
      <w:r w:rsidRPr="00ED6862">
        <w:rPr>
          <w:i/>
          <w:sz w:val="28"/>
          <w:szCs w:val="28"/>
        </w:rPr>
        <w:t>Совершенствование налогового и бюджетного законодательства.</w:t>
      </w:r>
    </w:p>
    <w:p w:rsidR="00A44FBA" w:rsidRPr="00ED6862" w:rsidRDefault="00A44FBA" w:rsidP="00E00E37">
      <w:pPr>
        <w:pStyle w:val="a3"/>
        <w:numPr>
          <w:ilvl w:val="1"/>
          <w:numId w:val="26"/>
        </w:numPr>
        <w:suppressAutoHyphens/>
        <w:rPr>
          <w:i/>
          <w:sz w:val="28"/>
          <w:szCs w:val="28"/>
        </w:rPr>
      </w:pPr>
      <w:r w:rsidRPr="00ED6862">
        <w:rPr>
          <w:i/>
          <w:sz w:val="28"/>
          <w:szCs w:val="28"/>
        </w:rPr>
        <w:t>По налогу на имущество организаций.</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 xml:space="preserve">С 1 января 2024 года Законом Республики Тыва от 29 ноября 2023 года </w:t>
      </w:r>
      <w:r w:rsidR="00E531FB">
        <w:rPr>
          <w:rFonts w:ascii="Times New Roman" w:hAnsi="Times New Roman" w:cs="Times New Roman"/>
          <w:sz w:val="28"/>
          <w:szCs w:val="28"/>
        </w:rPr>
        <w:br/>
      </w:r>
      <w:r w:rsidRPr="00ED6862">
        <w:rPr>
          <w:rFonts w:ascii="Times New Roman" w:hAnsi="Times New Roman" w:cs="Times New Roman"/>
          <w:sz w:val="28"/>
          <w:szCs w:val="28"/>
        </w:rPr>
        <w:t>№ 987-ЗРТ отменена налоговая льгота по налогу на имущество организаций в отношении региональных автомобильных дорог общего пользования.</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В результате отмены данной налоговой льготы дополнительные доходы консолидированного бюджета республики по налогу на имущество организаций в 2024 году ожидаются в сумме 42 млн. рублей, из них республиканский бюджет 22 млн. рублей, местный бюджет 20 млн. рублей. В 2025 году объем поступлений прогнозируется в сумме 54 млн. рублей с учетом амортизации автомобильных дорог общего пользования.</w:t>
      </w:r>
    </w:p>
    <w:p w:rsidR="00A44FBA" w:rsidRPr="00ED6862" w:rsidRDefault="00A44FBA" w:rsidP="00E00E37">
      <w:pPr>
        <w:pStyle w:val="a3"/>
        <w:numPr>
          <w:ilvl w:val="1"/>
          <w:numId w:val="26"/>
        </w:numPr>
        <w:suppressAutoHyphens/>
        <w:jc w:val="both"/>
        <w:rPr>
          <w:i/>
          <w:sz w:val="28"/>
          <w:szCs w:val="28"/>
        </w:rPr>
      </w:pPr>
      <w:r w:rsidRPr="00ED6862">
        <w:rPr>
          <w:i/>
          <w:sz w:val="28"/>
          <w:szCs w:val="28"/>
        </w:rPr>
        <w:lastRenderedPageBreak/>
        <w:t>По транспортному налогу.</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Ставки по транспортному налогу в разрезе видов транспортного средства Законом Республики Тыва от 29 ноября 2023 года № 987-ЗРТ изменены в сторону увеличения. Основные изменения коснулись автомобилей легковых с мощностью двигателя свыше 100 л.с. до 150 л.с., свыше 250 л.с., автомобилей грузовых с мощностью двигателя свыше 200 л.с. до 250 л.с., свыше 250 л.с. и т.д. При изменении ставок учитывался средний уровень ставок регионов Сибирского федерального округа.</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Поскольку транспортный налог физических лиц фактически начисляется в следующем году за отчетным, изменение ставок принесет дополнительное поступление доходов в бюджет республики в 2025 году.</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С учетом изменений налоговых ставок поступления по транспортному налогу в 2024 году ожидаются в сумме 238 млн. рублей, с ростом к исполнению 2023 года на 13% или на 27 млн. рублей. В 2025 году поступления прогнозируются  сумме 270 млн. рублей, с ростом к ожидаемой оценке 2024 года на 13% или на 32 млн. рублей.</w:t>
      </w:r>
    </w:p>
    <w:p w:rsidR="00A44FBA" w:rsidRPr="00ED6862" w:rsidRDefault="00A44FBA" w:rsidP="00E00E37">
      <w:pPr>
        <w:pStyle w:val="a3"/>
        <w:numPr>
          <w:ilvl w:val="1"/>
          <w:numId w:val="26"/>
        </w:numPr>
        <w:suppressAutoHyphens/>
        <w:jc w:val="both"/>
        <w:rPr>
          <w:i/>
          <w:sz w:val="28"/>
          <w:szCs w:val="28"/>
        </w:rPr>
      </w:pPr>
      <w:r w:rsidRPr="00ED6862">
        <w:rPr>
          <w:i/>
          <w:sz w:val="28"/>
          <w:szCs w:val="28"/>
        </w:rPr>
        <w:t>По налогу на доходы физических лиц.</w:t>
      </w:r>
    </w:p>
    <w:p w:rsidR="00A44FBA" w:rsidRPr="00ED6862" w:rsidRDefault="00A44FBA"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 xml:space="preserve">Конституционным законом Республики Тыва от 28 марта 2024 года </w:t>
      </w:r>
      <w:r w:rsidR="00E531FB">
        <w:rPr>
          <w:rFonts w:ascii="Times New Roman" w:hAnsi="Times New Roman" w:cs="Times New Roman"/>
          <w:sz w:val="28"/>
          <w:szCs w:val="28"/>
        </w:rPr>
        <w:br/>
      </w:r>
      <w:r w:rsidRPr="00ED6862">
        <w:rPr>
          <w:rFonts w:ascii="Times New Roman" w:hAnsi="Times New Roman" w:cs="Times New Roman"/>
          <w:sz w:val="28"/>
          <w:szCs w:val="28"/>
        </w:rPr>
        <w:t>№ 73-КЗРТ в целях формирования благоприятных налоговых условий для семей с двумя и более детьми предельный размер земельного участка доходы, от продажи которого освобождаются от налогообложения, установлен на уровне 0,08 гектаров.</w:t>
      </w:r>
    </w:p>
    <w:p w:rsidR="00A44FBA" w:rsidRPr="00ED6862" w:rsidRDefault="00A44FBA"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Доходы от продажи земельного участка, на котором расположен</w:t>
      </w:r>
      <w:r w:rsidR="00E531FB">
        <w:rPr>
          <w:rFonts w:ascii="Times New Roman" w:hAnsi="Times New Roman" w:cs="Times New Roman"/>
          <w:sz w:val="28"/>
          <w:szCs w:val="28"/>
        </w:rPr>
        <w:t>ы</w:t>
      </w:r>
      <w:r w:rsidRPr="00ED6862">
        <w:rPr>
          <w:rFonts w:ascii="Times New Roman" w:hAnsi="Times New Roman" w:cs="Times New Roman"/>
          <w:sz w:val="28"/>
          <w:szCs w:val="28"/>
        </w:rPr>
        <w:t xml:space="preserve"> жилой дом и хозяйственные постройки и (или) сооружения, освобождаются от налогообложения независимо от срока нахождения в собственности налогоплательщика продаваемого земельного участка.</w:t>
      </w:r>
    </w:p>
    <w:p w:rsidR="00A44FBA" w:rsidRPr="00ED6862" w:rsidRDefault="00A44FBA" w:rsidP="00E00E37">
      <w:pPr>
        <w:pStyle w:val="a3"/>
        <w:numPr>
          <w:ilvl w:val="0"/>
          <w:numId w:val="26"/>
        </w:numPr>
        <w:ind w:left="0" w:firstLine="709"/>
        <w:jc w:val="both"/>
        <w:rPr>
          <w:b/>
          <w:i/>
          <w:color w:val="000000" w:themeColor="text1"/>
          <w:sz w:val="28"/>
          <w:szCs w:val="28"/>
        </w:rPr>
      </w:pPr>
      <w:r w:rsidRPr="00ED6862">
        <w:rPr>
          <w:i/>
          <w:color w:val="000000" w:themeColor="text1"/>
          <w:sz w:val="28"/>
          <w:szCs w:val="28"/>
        </w:rPr>
        <w:t>Повышение собираемости налогов и снижение уровня недоимки.</w:t>
      </w:r>
    </w:p>
    <w:p w:rsidR="00A44FBA" w:rsidRPr="00ED6862" w:rsidRDefault="00A44FBA"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color w:val="000000" w:themeColor="text1"/>
          <w:sz w:val="28"/>
          <w:szCs w:val="28"/>
        </w:rPr>
        <w:t xml:space="preserve">Благодаря межведомственному взаимодействию Правительства Республики Тыва, налоговой службы, судебных приставов, ГИБДД и органов местного самоуправления республики, ежегодно растет уровень собираемости имущественных налогов с физических лиц. По итогам 2023 </w:t>
      </w:r>
      <w:r w:rsidR="00E531FB">
        <w:rPr>
          <w:rFonts w:ascii="Times New Roman" w:hAnsi="Times New Roman" w:cs="Times New Roman"/>
          <w:color w:val="000000" w:themeColor="text1"/>
          <w:sz w:val="28"/>
          <w:szCs w:val="28"/>
        </w:rPr>
        <w:t xml:space="preserve">года собираемость составила 95%, </w:t>
      </w:r>
      <w:r w:rsidRPr="00ED6862">
        <w:rPr>
          <w:rFonts w:ascii="Times New Roman" w:hAnsi="Times New Roman" w:cs="Times New Roman"/>
          <w:color w:val="000000" w:themeColor="text1"/>
          <w:sz w:val="28"/>
          <w:szCs w:val="28"/>
        </w:rPr>
        <w:t>в бюджет поступило 291 млн. рублей.</w:t>
      </w:r>
    </w:p>
    <w:p w:rsidR="00A44FBA" w:rsidRPr="00ED6862" w:rsidRDefault="00A44FBA" w:rsidP="00E00E37">
      <w:pPr>
        <w:pStyle w:val="a9"/>
        <w:ind w:firstLine="709"/>
        <w:jc w:val="both"/>
        <w:rPr>
          <w:color w:val="000000" w:themeColor="text1"/>
          <w:szCs w:val="28"/>
        </w:rPr>
      </w:pPr>
      <w:r w:rsidRPr="00ED6862">
        <w:rPr>
          <w:color w:val="000000" w:themeColor="text1"/>
          <w:szCs w:val="28"/>
        </w:rPr>
        <w:t>Актуальным остается поддержание достигнутого уровня собираемости в текущем году и стимулирование его роста в среднесрочной перспективе. П</w:t>
      </w:r>
      <w:r w:rsidRPr="00ED6862">
        <w:rPr>
          <w:szCs w:val="28"/>
          <w:shd w:val="clear" w:color="auto" w:fill="FFFFFF" w:themeFill="background1"/>
        </w:rPr>
        <w:t>о итогам 2024 года планируется достичь показателя собираемости в 98% или в суммарном выражении 322 млн. рублей.</w:t>
      </w:r>
    </w:p>
    <w:p w:rsidR="00A44FBA" w:rsidRPr="00ED6862" w:rsidRDefault="00A44FBA" w:rsidP="00E00E37">
      <w:pPr>
        <w:pStyle w:val="a9"/>
        <w:ind w:firstLine="709"/>
        <w:jc w:val="both"/>
        <w:rPr>
          <w:color w:val="000000" w:themeColor="text1"/>
          <w:szCs w:val="28"/>
        </w:rPr>
      </w:pPr>
      <w:r w:rsidRPr="00ED6862">
        <w:rPr>
          <w:color w:val="000000" w:themeColor="text1"/>
          <w:szCs w:val="28"/>
        </w:rPr>
        <w:t xml:space="preserve">Для выполнения поставленной задачи необходимо постоянное обновление информационных материалов, направленных на освещение всех сфер деятельности налоговых органов, ориентированных на взаимодействие с налогоплательщиками – физическими лицами. Расширение способов распространения информационных материалов, за счет привлечения организаций имеющих большую проходимость (кредитные организации, больницы, МФЦ и т.д.), которые обеспечат увеличение охвата граждан, осведомленных о сроке и </w:t>
      </w:r>
      <w:r w:rsidRPr="00ED6862">
        <w:rPr>
          <w:color w:val="000000" w:themeColor="text1"/>
          <w:szCs w:val="28"/>
        </w:rPr>
        <w:lastRenderedPageBreak/>
        <w:t xml:space="preserve">порядке исполнения налоговых обязательств, о правах налогоплательщиков и новшествах в сфере налогообложения. </w:t>
      </w:r>
    </w:p>
    <w:p w:rsidR="00A44FBA" w:rsidRPr="00ED6862" w:rsidRDefault="00A44FBA" w:rsidP="00E00E37">
      <w:pPr>
        <w:pStyle w:val="a9"/>
        <w:numPr>
          <w:ilvl w:val="0"/>
          <w:numId w:val="26"/>
        </w:numPr>
        <w:ind w:left="0" w:firstLine="709"/>
        <w:jc w:val="both"/>
        <w:rPr>
          <w:color w:val="000000" w:themeColor="text1"/>
          <w:szCs w:val="28"/>
        </w:rPr>
      </w:pPr>
      <w:r w:rsidRPr="00ED6862">
        <w:rPr>
          <w:b/>
          <w:i/>
          <w:color w:val="000000" w:themeColor="text1"/>
          <w:szCs w:val="28"/>
        </w:rPr>
        <w:t xml:space="preserve"> </w:t>
      </w:r>
      <w:r w:rsidRPr="00ED6862">
        <w:rPr>
          <w:i/>
          <w:color w:val="000000" w:themeColor="text1"/>
          <w:szCs w:val="28"/>
        </w:rPr>
        <w:t>Создание рабочих мест и борьба с нелегальной занятостью.</w:t>
      </w:r>
      <w:r w:rsidRPr="00ED6862">
        <w:rPr>
          <w:color w:val="000000" w:themeColor="text1"/>
          <w:szCs w:val="28"/>
        </w:rPr>
        <w:t xml:space="preserve"> </w:t>
      </w:r>
    </w:p>
    <w:p w:rsidR="00A44FBA" w:rsidRPr="00ED6862" w:rsidRDefault="00A44FBA" w:rsidP="00E00E37">
      <w:pPr>
        <w:pStyle w:val="a9"/>
        <w:ind w:firstLine="709"/>
        <w:jc w:val="both"/>
        <w:rPr>
          <w:color w:val="000000" w:themeColor="text1"/>
          <w:szCs w:val="28"/>
        </w:rPr>
      </w:pPr>
      <w:r w:rsidRPr="00ED6862">
        <w:rPr>
          <w:color w:val="000000" w:themeColor="text1"/>
          <w:szCs w:val="28"/>
        </w:rPr>
        <w:t xml:space="preserve">В 2023 году работа по легализации неформальной занятости проводилась методом информационно-разъяснительных работ и профилактических визитов в соответствии с постановлением Правительства РФ от 10.03.2022 года № 336 «Об особенностях организации и осуществления государственного контроля (надзора), муниципального контроля».   </w:t>
      </w:r>
    </w:p>
    <w:p w:rsidR="00A44FBA" w:rsidRPr="00ED6862" w:rsidRDefault="00A44FBA" w:rsidP="00E00E37">
      <w:pPr>
        <w:pStyle w:val="a9"/>
        <w:ind w:firstLine="709"/>
        <w:jc w:val="both"/>
        <w:rPr>
          <w:color w:val="000000" w:themeColor="text1"/>
          <w:szCs w:val="28"/>
        </w:rPr>
      </w:pPr>
      <w:r w:rsidRPr="00ED6862">
        <w:rPr>
          <w:color w:val="000000" w:themeColor="text1"/>
          <w:szCs w:val="28"/>
        </w:rPr>
        <w:t xml:space="preserve">По итогам работы межведомственных комиссий за 2023 год выявлены нарушения трудового и налогового законодательства по </w:t>
      </w:r>
      <w:r w:rsidRPr="00ED6862">
        <w:rPr>
          <w:szCs w:val="28"/>
        </w:rPr>
        <w:t>1 106 человек,  осуществляющих трудовую деятельность без официального трудового договора</w:t>
      </w:r>
      <w:r w:rsidRPr="00ED6862">
        <w:rPr>
          <w:color w:val="000000" w:themeColor="text1"/>
          <w:szCs w:val="28"/>
        </w:rPr>
        <w:t xml:space="preserve">, из которых 1 070 налогоплательщиков или 97% по итогам года уточнили налоговую отчетность. </w:t>
      </w:r>
    </w:p>
    <w:p w:rsidR="00A44FBA" w:rsidRPr="00ED6862" w:rsidRDefault="00A44FBA" w:rsidP="00E00E37">
      <w:pPr>
        <w:pStyle w:val="a9"/>
        <w:ind w:firstLine="709"/>
        <w:jc w:val="both"/>
        <w:rPr>
          <w:color w:val="000000" w:themeColor="text1"/>
          <w:szCs w:val="28"/>
        </w:rPr>
      </w:pPr>
      <w:r w:rsidRPr="00ED6862">
        <w:rPr>
          <w:color w:val="000000" w:themeColor="text1"/>
          <w:szCs w:val="28"/>
        </w:rPr>
        <w:t xml:space="preserve">Наибольшее количество граждан легализовано в таких отраслях экономики, как предоставление прочих видов услуг, торговля оптовая и розничная, ремонт автотранспортных средств и мотоциклов, сельское </w:t>
      </w:r>
      <w:r w:rsidR="00D86688" w:rsidRPr="00ED6862">
        <w:rPr>
          <w:color w:val="000000" w:themeColor="text1"/>
          <w:szCs w:val="28"/>
        </w:rPr>
        <w:t>хозяйство</w:t>
      </w:r>
      <w:r w:rsidR="00D86688">
        <w:rPr>
          <w:color w:val="000000" w:themeColor="text1"/>
          <w:szCs w:val="28"/>
        </w:rPr>
        <w:t>,</w:t>
      </w:r>
      <w:r w:rsidR="00D86688" w:rsidRPr="00ED6862">
        <w:rPr>
          <w:color w:val="000000" w:themeColor="text1"/>
          <w:szCs w:val="28"/>
        </w:rPr>
        <w:t xml:space="preserve"> </w:t>
      </w:r>
      <w:r w:rsidRPr="00ED6862">
        <w:rPr>
          <w:color w:val="000000" w:themeColor="text1"/>
          <w:szCs w:val="28"/>
        </w:rPr>
        <w:t>лесное хозяйство, охота, рыболовство и рыбоводство, строительство, деятельность гостиниц и предприятий общественного питания.</w:t>
      </w:r>
    </w:p>
    <w:p w:rsidR="00A44FBA" w:rsidRPr="00ED6862" w:rsidRDefault="00A44FBA" w:rsidP="00E00E37">
      <w:pPr>
        <w:pStyle w:val="a9"/>
        <w:ind w:firstLine="709"/>
        <w:jc w:val="both"/>
        <w:rPr>
          <w:color w:val="000000" w:themeColor="text1"/>
          <w:szCs w:val="28"/>
        </w:rPr>
      </w:pPr>
      <w:r w:rsidRPr="00ED6862">
        <w:rPr>
          <w:color w:val="000000" w:themeColor="text1"/>
          <w:szCs w:val="28"/>
        </w:rPr>
        <w:t>Также на территории Республике Тыва с 2020 года введен специальный налоговый режим «Налог на профессиональный доход». С начала введения данного налога количество налогоплательщиков в 2023 году увеличилось с 1 041 до 16 511 единиц или в 16 раз, что свидетельствует о заинтересованности граждан к специальному налоговому режиму.</w:t>
      </w:r>
    </w:p>
    <w:p w:rsidR="00A44FBA" w:rsidRPr="00ED6862" w:rsidRDefault="00A44FBA" w:rsidP="00E00E37">
      <w:pPr>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ED6862">
        <w:rPr>
          <w:rFonts w:ascii="Times New Roman" w:eastAsia="Times New Roman" w:hAnsi="Times New Roman" w:cs="Times New Roman"/>
          <w:color w:val="000000" w:themeColor="text1"/>
          <w:sz w:val="28"/>
          <w:szCs w:val="28"/>
          <w:lang w:eastAsia="ru-RU"/>
        </w:rPr>
        <w:t>В 2024 году поступление по налогу на профессиональный доход ожидается в сумме 30 млн. рублей, с ростом к 2023 году на 88%. Прогноз на 2025 год составляет 57 млн. рублей, с ростом к ожидаемой оценке 2024 года на 89%, в связи со стремительным ростом количества налогоплательщиков.</w:t>
      </w:r>
    </w:p>
    <w:p w:rsidR="00A44FBA" w:rsidRPr="00ED6862" w:rsidRDefault="00A44FBA" w:rsidP="00E00E37">
      <w:pPr>
        <w:pStyle w:val="a3"/>
        <w:numPr>
          <w:ilvl w:val="0"/>
          <w:numId w:val="26"/>
        </w:numPr>
        <w:autoSpaceDN w:val="0"/>
        <w:ind w:left="0" w:firstLine="709"/>
        <w:jc w:val="both"/>
        <w:rPr>
          <w:rFonts w:eastAsia="Times New Roman"/>
          <w:i/>
          <w:color w:val="000000" w:themeColor="text1"/>
          <w:sz w:val="28"/>
          <w:szCs w:val="28"/>
          <w:lang w:eastAsia="ru-RU"/>
        </w:rPr>
      </w:pPr>
      <w:r w:rsidRPr="00ED6862">
        <w:rPr>
          <w:rFonts w:eastAsia="Times New Roman"/>
          <w:i/>
          <w:color w:val="000000" w:themeColor="text1"/>
          <w:sz w:val="28"/>
          <w:szCs w:val="28"/>
          <w:lang w:eastAsia="ru-RU"/>
        </w:rPr>
        <w:t>Повышение эффективности управления дебиторской задолженности по доходам</w:t>
      </w:r>
    </w:p>
    <w:p w:rsidR="00A44FBA" w:rsidRPr="00ED6862" w:rsidRDefault="00A44FBA" w:rsidP="00E00E37">
      <w:pPr>
        <w:pStyle w:val="a3"/>
        <w:autoSpaceDN w:val="0"/>
        <w:ind w:left="0" w:firstLine="709"/>
        <w:jc w:val="both"/>
        <w:rPr>
          <w:rFonts w:eastAsia="Times New Roman"/>
          <w:color w:val="000000" w:themeColor="text1"/>
          <w:sz w:val="28"/>
          <w:szCs w:val="28"/>
          <w:lang w:eastAsia="ru-RU"/>
        </w:rPr>
      </w:pPr>
      <w:r w:rsidRPr="00ED6862">
        <w:rPr>
          <w:rFonts w:eastAsia="Times New Roman"/>
          <w:color w:val="000000" w:themeColor="text1"/>
          <w:sz w:val="28"/>
          <w:szCs w:val="28"/>
          <w:lang w:eastAsia="ru-RU"/>
        </w:rPr>
        <w:t>Контрольно-надзорными органами Республики Тыва в соответствии с постановлением Правительства Республики Тыва от 13 августа 2009 года № 396 проводится контроль над осуществлением полномочий главных администраторов доходов по повышению эффективности управления дебиторской задолженности.</w:t>
      </w:r>
    </w:p>
    <w:p w:rsidR="00A44FBA" w:rsidRPr="00ED6862" w:rsidRDefault="00A44FBA" w:rsidP="00E00E37">
      <w:pPr>
        <w:pStyle w:val="a3"/>
        <w:autoSpaceDN w:val="0"/>
        <w:ind w:left="0" w:firstLine="709"/>
        <w:jc w:val="both"/>
        <w:rPr>
          <w:rFonts w:eastAsia="Times New Roman"/>
          <w:color w:val="000000" w:themeColor="text1"/>
          <w:sz w:val="28"/>
          <w:szCs w:val="28"/>
          <w:lang w:eastAsia="ru-RU"/>
        </w:rPr>
      </w:pPr>
      <w:r w:rsidRPr="00ED6862">
        <w:rPr>
          <w:rFonts w:eastAsia="Times New Roman"/>
          <w:color w:val="000000" w:themeColor="text1"/>
          <w:sz w:val="28"/>
          <w:szCs w:val="28"/>
          <w:lang w:eastAsia="ru-RU"/>
        </w:rPr>
        <w:t xml:space="preserve">В целях формирования достоверной информации о состоянии дебиторской задолженности по доходам в 2023 году проведена инвентаризация задолженности в части полноты отражения сведений в представленных отчетных формах, соответствия сумм начисленных доходов и сроков исполнения первичных документов. </w:t>
      </w:r>
    </w:p>
    <w:p w:rsidR="00A44FBA" w:rsidRPr="00ED6862" w:rsidRDefault="00A44FBA" w:rsidP="00E00E37">
      <w:pPr>
        <w:pStyle w:val="a3"/>
        <w:autoSpaceDN w:val="0"/>
        <w:ind w:left="0" w:firstLine="709"/>
        <w:jc w:val="both"/>
        <w:rPr>
          <w:rFonts w:eastAsia="Times New Roman"/>
          <w:color w:val="000000" w:themeColor="text1"/>
          <w:sz w:val="28"/>
          <w:szCs w:val="28"/>
          <w:lang w:eastAsia="ru-RU"/>
        </w:rPr>
      </w:pPr>
      <w:r w:rsidRPr="00ED6862">
        <w:rPr>
          <w:rFonts w:eastAsia="Times New Roman"/>
          <w:color w:val="000000" w:themeColor="text1"/>
          <w:sz w:val="28"/>
          <w:szCs w:val="28"/>
          <w:lang w:eastAsia="ru-RU"/>
        </w:rPr>
        <w:t>Результаты проведенных контрольных мероприятий в 2023-2024 годах оказали положительное влияние на снижение дебиторской задолженности по доходам и улучшение качества финансовой бухгалтерской отчетности администраторов. Работа по данному направлению в 2025 году будет продолжена.</w:t>
      </w:r>
    </w:p>
    <w:p w:rsidR="00AD222F" w:rsidRPr="00ED6862" w:rsidRDefault="00AD222F" w:rsidP="00E00E37">
      <w:pPr>
        <w:pStyle w:val="a3"/>
        <w:autoSpaceDE w:val="0"/>
        <w:autoSpaceDN w:val="0"/>
        <w:adjustRightInd w:val="0"/>
        <w:ind w:left="0"/>
        <w:jc w:val="both"/>
        <w:rPr>
          <w:b/>
          <w:sz w:val="28"/>
          <w:szCs w:val="28"/>
        </w:rPr>
      </w:pPr>
    </w:p>
    <w:p w:rsidR="00AD222F" w:rsidRPr="00ED6862" w:rsidRDefault="00AD222F" w:rsidP="0075661C">
      <w:pPr>
        <w:pStyle w:val="a3"/>
        <w:numPr>
          <w:ilvl w:val="0"/>
          <w:numId w:val="1"/>
        </w:numPr>
        <w:autoSpaceDE w:val="0"/>
        <w:autoSpaceDN w:val="0"/>
        <w:adjustRightInd w:val="0"/>
        <w:ind w:left="0" w:firstLine="0"/>
        <w:jc w:val="center"/>
        <w:rPr>
          <w:b/>
          <w:sz w:val="28"/>
          <w:szCs w:val="28"/>
        </w:rPr>
      </w:pPr>
      <w:r w:rsidRPr="00ED6862">
        <w:rPr>
          <w:b/>
          <w:sz w:val="28"/>
          <w:szCs w:val="28"/>
        </w:rPr>
        <w:lastRenderedPageBreak/>
        <w:t>Итоги реализации бюджетной политики Республики Тыва</w:t>
      </w:r>
    </w:p>
    <w:p w:rsidR="00AD222F" w:rsidRPr="00ED6862" w:rsidRDefault="00AD222F" w:rsidP="0075661C">
      <w:pPr>
        <w:pStyle w:val="a3"/>
        <w:autoSpaceDE w:val="0"/>
        <w:autoSpaceDN w:val="0"/>
        <w:adjustRightInd w:val="0"/>
        <w:ind w:left="0"/>
        <w:jc w:val="center"/>
        <w:rPr>
          <w:b/>
          <w:sz w:val="28"/>
          <w:szCs w:val="28"/>
        </w:rPr>
      </w:pPr>
      <w:r w:rsidRPr="00ED6862">
        <w:rPr>
          <w:b/>
          <w:sz w:val="28"/>
          <w:szCs w:val="28"/>
        </w:rPr>
        <w:t>в 202</w:t>
      </w:r>
      <w:r w:rsidR="00006AE1" w:rsidRPr="00ED6862">
        <w:rPr>
          <w:b/>
          <w:sz w:val="28"/>
          <w:szCs w:val="28"/>
        </w:rPr>
        <w:t>3</w:t>
      </w:r>
      <w:r w:rsidR="00EB7CBD" w:rsidRPr="00ED6862">
        <w:rPr>
          <w:b/>
          <w:sz w:val="28"/>
          <w:szCs w:val="28"/>
        </w:rPr>
        <w:t>-202</w:t>
      </w:r>
      <w:r w:rsidR="00006AE1" w:rsidRPr="00ED6862">
        <w:rPr>
          <w:b/>
          <w:sz w:val="28"/>
          <w:szCs w:val="28"/>
        </w:rPr>
        <w:t>4</w:t>
      </w:r>
      <w:r w:rsidR="00EB7CBD" w:rsidRPr="00ED6862">
        <w:rPr>
          <w:b/>
          <w:sz w:val="28"/>
          <w:szCs w:val="28"/>
        </w:rPr>
        <w:t xml:space="preserve"> годах</w:t>
      </w:r>
    </w:p>
    <w:p w:rsidR="00CD4201" w:rsidRPr="00ED6862" w:rsidRDefault="00CD4201" w:rsidP="00E00E37">
      <w:pPr>
        <w:spacing w:after="0" w:line="240" w:lineRule="auto"/>
        <w:ind w:firstLine="709"/>
        <w:jc w:val="both"/>
        <w:rPr>
          <w:rFonts w:ascii="Times New Roman" w:hAnsi="Times New Roman" w:cs="Times New Roman"/>
          <w:sz w:val="28"/>
          <w:szCs w:val="28"/>
        </w:rPr>
      </w:pPr>
    </w:p>
    <w:p w:rsidR="00AD222F" w:rsidRPr="00A764E7" w:rsidRDefault="003A6C9E"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Бюджетная по</w:t>
      </w:r>
      <w:r w:rsidR="00006AE1" w:rsidRPr="00ED6862">
        <w:rPr>
          <w:rFonts w:ascii="Times New Roman" w:hAnsi="Times New Roman" w:cs="Times New Roman"/>
          <w:sz w:val="28"/>
          <w:szCs w:val="28"/>
        </w:rPr>
        <w:t>литика Республики Тыва в период</w:t>
      </w:r>
      <w:r w:rsidRPr="00ED6862">
        <w:rPr>
          <w:rFonts w:ascii="Times New Roman" w:hAnsi="Times New Roman" w:cs="Times New Roman"/>
          <w:sz w:val="28"/>
          <w:szCs w:val="28"/>
        </w:rPr>
        <w:t xml:space="preserve"> </w:t>
      </w:r>
      <w:r w:rsidR="00006AE1" w:rsidRPr="00ED6862">
        <w:rPr>
          <w:rFonts w:ascii="Times New Roman" w:hAnsi="Times New Roman" w:cs="Times New Roman"/>
          <w:sz w:val="28"/>
          <w:szCs w:val="28"/>
        </w:rPr>
        <w:t xml:space="preserve">геополитической нестабильности </w:t>
      </w:r>
      <w:r w:rsidR="00AD222F" w:rsidRPr="00ED6862">
        <w:rPr>
          <w:rFonts w:ascii="Times New Roman" w:hAnsi="Times New Roman" w:cs="Times New Roman"/>
          <w:sz w:val="28"/>
          <w:szCs w:val="28"/>
          <w:shd w:val="clear" w:color="auto" w:fill="FFFFFF"/>
        </w:rPr>
        <w:t xml:space="preserve">в первую очередь ориентировалась на решение следующих вопросов: </w:t>
      </w:r>
      <w:r w:rsidR="00006AE1" w:rsidRPr="00ED6862">
        <w:rPr>
          <w:rFonts w:ascii="Times New Roman" w:hAnsi="Times New Roman" w:cs="Times New Roman"/>
          <w:sz w:val="28"/>
          <w:szCs w:val="28"/>
        </w:rPr>
        <w:t>выполнение социальных обязательств, обеспечение роста уровня заработной платы работников бю</w:t>
      </w:r>
      <w:r w:rsidR="00006AE1" w:rsidRPr="00A764E7">
        <w:rPr>
          <w:rFonts w:ascii="Times New Roman" w:hAnsi="Times New Roman" w:cs="Times New Roman"/>
          <w:sz w:val="28"/>
          <w:szCs w:val="28"/>
        </w:rPr>
        <w:t>джетной сферы, поддержку отраслей экономики и улучшение качества жизни граждан за счет развития и модернизации социальной, коммунальной, транспортной и иной инфраструктуры, а также</w:t>
      </w:r>
      <w:r w:rsidR="006537E1" w:rsidRPr="00A764E7">
        <w:rPr>
          <w:rFonts w:ascii="Times New Roman" w:hAnsi="Times New Roman" w:cs="Times New Roman"/>
          <w:sz w:val="28"/>
          <w:szCs w:val="28"/>
        </w:rPr>
        <w:t xml:space="preserve"> поддержка граждан, участвующих в специальной военной операции</w:t>
      </w:r>
      <w:r w:rsidR="00AD222F" w:rsidRPr="00A764E7">
        <w:rPr>
          <w:rFonts w:ascii="Times New Roman" w:hAnsi="Times New Roman" w:cs="Times New Roman"/>
          <w:sz w:val="28"/>
          <w:szCs w:val="28"/>
        </w:rPr>
        <w:t>.</w:t>
      </w:r>
    </w:p>
    <w:p w:rsidR="001B7855" w:rsidRPr="001B7855" w:rsidRDefault="001B7855" w:rsidP="004E10B5">
      <w:pPr>
        <w:tabs>
          <w:tab w:val="left" w:pos="2880"/>
          <w:tab w:val="center" w:pos="5102"/>
        </w:tabs>
        <w:spacing w:after="0" w:line="240" w:lineRule="auto"/>
        <w:ind w:firstLine="709"/>
        <w:jc w:val="both"/>
        <w:rPr>
          <w:rFonts w:ascii="Times New Roman" w:eastAsia="Times New Roman" w:hAnsi="Times New Roman" w:cs="Times New Roman"/>
          <w:sz w:val="28"/>
          <w:szCs w:val="28"/>
          <w:lang w:eastAsia="ru-RU"/>
        </w:rPr>
      </w:pPr>
      <w:r w:rsidRPr="001B7855">
        <w:rPr>
          <w:rFonts w:ascii="Times New Roman" w:eastAsia="Times New Roman" w:hAnsi="Times New Roman" w:cs="Times New Roman"/>
          <w:sz w:val="28"/>
          <w:szCs w:val="28"/>
          <w:lang w:eastAsia="ru-RU"/>
        </w:rPr>
        <w:t xml:space="preserve">За 2023 год доходная часть бюджета республики исполнена на 60 770 млн. рублей, рост по отношению к предыдущему году составил на 406 млн. рублей. Собственные доходы 22% бюджета Республики Тыва, 40% </w:t>
      </w:r>
      <w:r w:rsidRPr="001B7855">
        <w:rPr>
          <w:rFonts w:ascii="Times New Roman" w:eastAsia="Times New Roman" w:hAnsi="Times New Roman" w:cs="Times New Roman"/>
          <w:sz w:val="28"/>
          <w:szCs w:val="28"/>
          <w:lang w:val="tt-RU" w:eastAsia="ru-RU"/>
        </w:rPr>
        <w:t xml:space="preserve">дотации, </w:t>
      </w:r>
      <w:r w:rsidRPr="001B7855">
        <w:rPr>
          <w:rFonts w:ascii="Times New Roman" w:eastAsia="Times New Roman" w:hAnsi="Times New Roman" w:cs="Times New Roman"/>
          <w:sz w:val="28"/>
          <w:szCs w:val="28"/>
          <w:lang w:eastAsia="ru-RU"/>
        </w:rPr>
        <w:t>38% федеральные целевые поступления.</w:t>
      </w:r>
    </w:p>
    <w:p w:rsidR="001B7855" w:rsidRPr="001B7855" w:rsidRDefault="001B7855" w:rsidP="004E10B5">
      <w:pPr>
        <w:spacing w:after="0" w:line="240" w:lineRule="auto"/>
        <w:ind w:firstLine="709"/>
        <w:jc w:val="both"/>
        <w:rPr>
          <w:rFonts w:ascii="Times New Roman" w:eastAsia="Calibri" w:hAnsi="Times New Roman" w:cs="Times New Roman"/>
          <w:sz w:val="28"/>
          <w:szCs w:val="28"/>
          <w:lang w:val="tt-RU"/>
        </w:rPr>
      </w:pPr>
      <w:r w:rsidRPr="001B7855">
        <w:rPr>
          <w:rFonts w:ascii="Times New Roman" w:eastAsia="Calibri" w:hAnsi="Times New Roman" w:cs="Times New Roman"/>
          <w:sz w:val="28"/>
          <w:szCs w:val="28"/>
          <w:lang w:val="tt-RU"/>
        </w:rPr>
        <w:t xml:space="preserve">В 2023 году в целях увеличения собственных доходов, расширен перечень счетов для привлечения остатков средств на единый счет республиканского бюджета, что позволило увеличить доходы от управления остатками на казначейском счете в 5 раз или дополнительно +522 млн. рублей. </w:t>
      </w:r>
    </w:p>
    <w:p w:rsidR="001B7855" w:rsidRPr="001B7855" w:rsidRDefault="001B7855" w:rsidP="004E10B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B7855">
        <w:rPr>
          <w:rFonts w:ascii="Times New Roman" w:eastAsia="Times New Roman" w:hAnsi="Times New Roman" w:cs="Times New Roman"/>
          <w:color w:val="000000"/>
          <w:sz w:val="28"/>
          <w:szCs w:val="28"/>
          <w:lang w:eastAsia="ru-RU"/>
        </w:rPr>
        <w:t>Общий объем предоставленных из федерального бюджета дотаций составил 24 323 млн. рублей или на уровне 2022 года (24 232 млн. рублей).</w:t>
      </w:r>
    </w:p>
    <w:p w:rsidR="001B7855" w:rsidRPr="001B7855" w:rsidRDefault="001B7855" w:rsidP="004E10B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B7855">
        <w:rPr>
          <w:rFonts w:ascii="Times New Roman" w:eastAsia="Times New Roman" w:hAnsi="Times New Roman" w:cs="Times New Roman"/>
          <w:color w:val="000000"/>
          <w:sz w:val="28"/>
          <w:szCs w:val="28"/>
          <w:lang w:eastAsia="ru-RU"/>
        </w:rPr>
        <w:t>В течение года привлечена дополнительная финансовая помощь из федерального бюджета в виде разовых дотации на поддержку мер по обеспечению сбалансированности в общем объеме 2 342 млн. рублей (в 2022 году 2 498 млн. рублей).</w:t>
      </w:r>
    </w:p>
    <w:p w:rsidR="001B7855" w:rsidRPr="00ED6862" w:rsidRDefault="001B7855" w:rsidP="004E10B5">
      <w:pPr>
        <w:spacing w:after="0" w:line="240" w:lineRule="auto"/>
        <w:ind w:firstLine="709"/>
        <w:jc w:val="both"/>
        <w:rPr>
          <w:rFonts w:ascii="Times New Roman" w:eastAsia="Calibri" w:hAnsi="Times New Roman" w:cs="Times New Roman"/>
          <w:sz w:val="28"/>
          <w:szCs w:val="28"/>
          <w:lang w:val="tt-RU"/>
        </w:rPr>
      </w:pPr>
      <w:r w:rsidRPr="00ED6862">
        <w:rPr>
          <w:rFonts w:ascii="Times New Roman" w:eastAsia="Calibri" w:hAnsi="Times New Roman" w:cs="Times New Roman"/>
          <w:sz w:val="28"/>
          <w:szCs w:val="28"/>
          <w:lang w:val="tt-RU"/>
        </w:rPr>
        <w:t>Для Республики Тыва, относящейся к регионам с низким уровнем социально-экономического развития, привлечение из федерального бюджета целевых трансфертов и кредитов является основным источником для реализации инфраструктурных и инвестиционных проектов, создающих ключевые условия для массового жилищного строительства, введения в эксплуатацию социальных объектов в рамках национальных проектов, повышения качества жизни в регионе, а также для увеличения налоговых и неналоговых доходов бюджета.</w:t>
      </w:r>
    </w:p>
    <w:p w:rsidR="001B7855" w:rsidRPr="00ED6862" w:rsidRDefault="007C5B76" w:rsidP="004E10B5">
      <w:pPr>
        <w:spacing w:after="0" w:line="240" w:lineRule="auto"/>
        <w:ind w:firstLine="709"/>
        <w:jc w:val="both"/>
        <w:rPr>
          <w:rFonts w:ascii="Times New Roman" w:eastAsia="Calibri" w:hAnsi="Times New Roman" w:cs="Times New Roman"/>
          <w:sz w:val="28"/>
          <w:szCs w:val="28"/>
          <w:lang w:val="tt-RU"/>
        </w:rPr>
      </w:pPr>
      <w:r w:rsidRPr="00ED6862">
        <w:rPr>
          <w:rFonts w:ascii="Times New Roman" w:eastAsia="Calibri" w:hAnsi="Times New Roman" w:cs="Times New Roman"/>
          <w:sz w:val="28"/>
          <w:szCs w:val="28"/>
          <w:lang w:val="tt-RU"/>
        </w:rPr>
        <w:t>Так и</w:t>
      </w:r>
      <w:r w:rsidR="001B7855" w:rsidRPr="00ED6862">
        <w:rPr>
          <w:rFonts w:ascii="Times New Roman" w:eastAsia="Calibri" w:hAnsi="Times New Roman" w:cs="Times New Roman"/>
          <w:sz w:val="28"/>
          <w:szCs w:val="28"/>
          <w:lang w:val="tt-RU"/>
        </w:rPr>
        <w:t>з 8-ми мер инфраструктурной поддержки Республика Тыва участвует в 6 направлениях развития инфраструктурных проектов на общую сумму 3 238,1 млн. рублей, в том числе 5 действующих:</w:t>
      </w:r>
    </w:p>
    <w:p w:rsidR="001B7855" w:rsidRPr="00ED6862" w:rsidRDefault="001B7855" w:rsidP="004E10B5">
      <w:pPr>
        <w:tabs>
          <w:tab w:val="left" w:pos="993"/>
        </w:tabs>
        <w:spacing w:after="0" w:line="240" w:lineRule="auto"/>
        <w:ind w:firstLine="709"/>
        <w:jc w:val="both"/>
        <w:rPr>
          <w:rFonts w:ascii="Times New Roman" w:eastAsia="Calibri" w:hAnsi="Times New Roman" w:cs="Times New Roman"/>
          <w:i/>
          <w:sz w:val="24"/>
          <w:szCs w:val="24"/>
          <w:lang w:val="tt-RU"/>
        </w:rPr>
      </w:pPr>
      <w:r w:rsidRPr="00ED6862">
        <w:rPr>
          <w:rFonts w:ascii="Times New Roman" w:eastAsia="Calibri" w:hAnsi="Times New Roman" w:cs="Times New Roman"/>
          <w:sz w:val="24"/>
          <w:szCs w:val="24"/>
          <w:lang w:val="tt-RU"/>
        </w:rPr>
        <w:t>1.</w:t>
      </w:r>
      <w:r w:rsidRPr="00ED6862">
        <w:rPr>
          <w:rFonts w:ascii="Times New Roman" w:eastAsia="Calibri" w:hAnsi="Times New Roman" w:cs="Times New Roman"/>
          <w:sz w:val="24"/>
          <w:szCs w:val="24"/>
          <w:lang w:val="tt-RU"/>
        </w:rPr>
        <w:tab/>
        <w:t xml:space="preserve">инфраструктурные бюджетные кредиты </w:t>
      </w:r>
      <w:r w:rsidRPr="00ED6862">
        <w:rPr>
          <w:rFonts w:ascii="Times New Roman" w:eastAsia="Calibri" w:hAnsi="Times New Roman" w:cs="Times New Roman"/>
          <w:i/>
          <w:sz w:val="24"/>
          <w:szCs w:val="24"/>
          <w:lang w:val="tt-RU"/>
        </w:rPr>
        <w:t>(на реализаицю 4 проектов за период с 2022 по 2025 годы республика привлекла 1 332 млн. рублей: в 2022 году – 633 млн. рублей, в 2023 году – 307 млн. рублей, в 2024 году – 200 млн. рублей, 2025 – 192 млн. рублей).</w:t>
      </w:r>
    </w:p>
    <w:p w:rsidR="001B7855" w:rsidRPr="00ED6862" w:rsidRDefault="001B7855" w:rsidP="004E10B5">
      <w:pPr>
        <w:tabs>
          <w:tab w:val="left" w:pos="993"/>
        </w:tabs>
        <w:spacing w:after="0" w:line="240" w:lineRule="auto"/>
        <w:ind w:firstLine="709"/>
        <w:jc w:val="both"/>
        <w:rPr>
          <w:rFonts w:ascii="Times New Roman" w:eastAsia="Calibri" w:hAnsi="Times New Roman" w:cs="Times New Roman"/>
          <w:sz w:val="24"/>
          <w:szCs w:val="24"/>
          <w:lang w:val="tt-RU"/>
        </w:rPr>
      </w:pPr>
      <w:r w:rsidRPr="00ED6862">
        <w:rPr>
          <w:rFonts w:ascii="Times New Roman" w:eastAsia="Calibri" w:hAnsi="Times New Roman" w:cs="Times New Roman"/>
          <w:sz w:val="24"/>
          <w:szCs w:val="24"/>
          <w:lang w:val="tt-RU"/>
        </w:rPr>
        <w:t>2.</w:t>
      </w:r>
      <w:r w:rsidRPr="00ED6862">
        <w:rPr>
          <w:rFonts w:ascii="Times New Roman" w:eastAsia="Calibri" w:hAnsi="Times New Roman" w:cs="Times New Roman"/>
          <w:sz w:val="24"/>
          <w:szCs w:val="24"/>
          <w:lang w:val="tt-RU"/>
        </w:rPr>
        <w:tab/>
        <w:t>бюджетные кредиты на опережающее финансирование (</w:t>
      </w:r>
      <w:r w:rsidRPr="00ED6862">
        <w:rPr>
          <w:rFonts w:ascii="Times New Roman" w:eastAsia="Calibri" w:hAnsi="Times New Roman" w:cs="Times New Roman"/>
          <w:i/>
          <w:sz w:val="24"/>
          <w:szCs w:val="24"/>
          <w:lang w:val="tt-RU"/>
        </w:rPr>
        <w:t>в 2023 году на опережающее финансирование мероприятий национальных проектов направлены средства в сумме 589,2 млн. рублей за счет казначейского кредита)</w:t>
      </w:r>
      <w:r w:rsidRPr="00ED6862">
        <w:rPr>
          <w:rFonts w:ascii="Times New Roman" w:eastAsia="Calibri" w:hAnsi="Times New Roman" w:cs="Times New Roman"/>
          <w:sz w:val="24"/>
          <w:szCs w:val="24"/>
          <w:lang w:val="tt-RU"/>
        </w:rPr>
        <w:t>;</w:t>
      </w:r>
    </w:p>
    <w:p w:rsidR="001B7855" w:rsidRPr="00ED6862" w:rsidRDefault="001B7855" w:rsidP="004E10B5">
      <w:pPr>
        <w:tabs>
          <w:tab w:val="left" w:pos="993"/>
        </w:tabs>
        <w:spacing w:after="0" w:line="240" w:lineRule="auto"/>
        <w:ind w:firstLine="709"/>
        <w:jc w:val="both"/>
        <w:rPr>
          <w:rFonts w:ascii="Times New Roman" w:eastAsia="Calibri" w:hAnsi="Times New Roman" w:cs="Times New Roman"/>
          <w:sz w:val="24"/>
          <w:szCs w:val="24"/>
          <w:lang w:val="tt-RU"/>
        </w:rPr>
      </w:pPr>
      <w:r w:rsidRPr="00ED6862">
        <w:rPr>
          <w:rFonts w:ascii="Times New Roman" w:eastAsia="Calibri" w:hAnsi="Times New Roman" w:cs="Times New Roman"/>
          <w:sz w:val="24"/>
          <w:szCs w:val="24"/>
          <w:lang w:val="tt-RU"/>
        </w:rPr>
        <w:t>3.</w:t>
      </w:r>
      <w:r w:rsidRPr="00ED6862">
        <w:rPr>
          <w:rFonts w:ascii="Times New Roman" w:eastAsia="Calibri" w:hAnsi="Times New Roman" w:cs="Times New Roman"/>
          <w:sz w:val="24"/>
          <w:szCs w:val="24"/>
          <w:lang w:val="tt-RU"/>
        </w:rPr>
        <w:tab/>
        <w:t xml:space="preserve">субсидии из федерального бюджета на формирование комфортной городской среды </w:t>
      </w:r>
      <w:r w:rsidRPr="00ED6862">
        <w:rPr>
          <w:rFonts w:ascii="Times New Roman" w:eastAsia="Calibri" w:hAnsi="Times New Roman" w:cs="Times New Roman"/>
          <w:i/>
          <w:sz w:val="24"/>
          <w:szCs w:val="24"/>
          <w:lang w:val="tt-RU"/>
        </w:rPr>
        <w:t>(в 202</w:t>
      </w:r>
      <w:r w:rsidR="004A722C" w:rsidRPr="00ED6862">
        <w:rPr>
          <w:rFonts w:ascii="Times New Roman" w:eastAsia="Calibri" w:hAnsi="Times New Roman" w:cs="Times New Roman"/>
          <w:i/>
          <w:sz w:val="24"/>
          <w:szCs w:val="24"/>
          <w:lang w:val="tt-RU"/>
        </w:rPr>
        <w:t>4</w:t>
      </w:r>
      <w:r w:rsidRPr="00ED6862">
        <w:rPr>
          <w:rFonts w:ascii="Times New Roman" w:eastAsia="Calibri" w:hAnsi="Times New Roman" w:cs="Times New Roman"/>
          <w:i/>
          <w:sz w:val="24"/>
          <w:szCs w:val="24"/>
          <w:lang w:val="tt-RU"/>
        </w:rPr>
        <w:t xml:space="preserve"> году </w:t>
      </w:r>
      <w:r w:rsidR="004A722C" w:rsidRPr="00ED6862">
        <w:rPr>
          <w:rFonts w:ascii="Times New Roman" w:eastAsia="Calibri" w:hAnsi="Times New Roman" w:cs="Times New Roman"/>
          <w:i/>
          <w:sz w:val="24"/>
          <w:szCs w:val="24"/>
          <w:lang w:val="tt-RU"/>
        </w:rPr>
        <w:t xml:space="preserve">276,4 </w:t>
      </w:r>
      <w:r w:rsidRPr="00ED6862">
        <w:rPr>
          <w:rFonts w:ascii="Times New Roman" w:eastAsia="Calibri" w:hAnsi="Times New Roman" w:cs="Times New Roman"/>
          <w:i/>
          <w:sz w:val="24"/>
          <w:szCs w:val="24"/>
          <w:lang w:val="tt-RU"/>
        </w:rPr>
        <w:t>млн. рублей</w:t>
      </w:r>
      <w:r w:rsidR="00373568" w:rsidRPr="00ED6862">
        <w:rPr>
          <w:rFonts w:ascii="Times New Roman" w:eastAsia="Calibri" w:hAnsi="Times New Roman" w:cs="Times New Roman"/>
          <w:i/>
          <w:sz w:val="24"/>
          <w:szCs w:val="24"/>
          <w:lang w:val="tt-RU"/>
        </w:rPr>
        <w:t>, на 2025 год – 348</w:t>
      </w:r>
      <w:r w:rsidR="004A722C" w:rsidRPr="00ED6862">
        <w:rPr>
          <w:rFonts w:ascii="Times New Roman" w:eastAsia="Calibri" w:hAnsi="Times New Roman" w:cs="Times New Roman"/>
          <w:i/>
          <w:sz w:val="24"/>
          <w:szCs w:val="24"/>
          <w:lang w:val="tt-RU"/>
        </w:rPr>
        <w:t>,4 млн. рублей</w:t>
      </w:r>
      <w:r w:rsidRPr="00ED6862">
        <w:rPr>
          <w:rFonts w:ascii="Times New Roman" w:eastAsia="Calibri" w:hAnsi="Times New Roman" w:cs="Times New Roman"/>
          <w:i/>
          <w:sz w:val="24"/>
          <w:szCs w:val="24"/>
          <w:lang w:val="tt-RU"/>
        </w:rPr>
        <w:t>);</w:t>
      </w:r>
    </w:p>
    <w:p w:rsidR="001B7855" w:rsidRPr="00ED6862" w:rsidRDefault="001B7855" w:rsidP="004E10B5">
      <w:pPr>
        <w:tabs>
          <w:tab w:val="left" w:pos="993"/>
        </w:tabs>
        <w:spacing w:after="0" w:line="240" w:lineRule="auto"/>
        <w:ind w:firstLine="709"/>
        <w:jc w:val="both"/>
        <w:rPr>
          <w:rFonts w:ascii="Times New Roman" w:eastAsia="Calibri" w:hAnsi="Times New Roman" w:cs="Times New Roman"/>
          <w:sz w:val="24"/>
          <w:szCs w:val="24"/>
          <w:lang w:val="tt-RU"/>
        </w:rPr>
      </w:pPr>
      <w:r w:rsidRPr="00ED6862">
        <w:rPr>
          <w:rFonts w:ascii="Times New Roman" w:eastAsia="Calibri" w:hAnsi="Times New Roman" w:cs="Times New Roman"/>
          <w:sz w:val="24"/>
          <w:szCs w:val="24"/>
          <w:lang w:val="tt-RU"/>
        </w:rPr>
        <w:t>4.</w:t>
      </w:r>
      <w:r w:rsidRPr="00ED6862">
        <w:rPr>
          <w:rFonts w:ascii="Times New Roman" w:eastAsia="Calibri" w:hAnsi="Times New Roman" w:cs="Times New Roman"/>
          <w:sz w:val="24"/>
          <w:szCs w:val="24"/>
          <w:lang w:val="tt-RU"/>
        </w:rPr>
        <w:tab/>
        <w:t xml:space="preserve">новые инвестиционные проекты </w:t>
      </w:r>
      <w:r w:rsidRPr="00ED6862">
        <w:rPr>
          <w:rFonts w:ascii="Times New Roman" w:eastAsia="Calibri" w:hAnsi="Times New Roman" w:cs="Times New Roman"/>
          <w:i/>
          <w:sz w:val="24"/>
          <w:szCs w:val="24"/>
          <w:lang w:val="tt-RU"/>
        </w:rPr>
        <w:t>(в 2022 году профинансированы 92,1 млн. рублей, в 2023 году – 70 млн. рублей, на 202</w:t>
      </w:r>
      <w:r w:rsidR="00E1456E" w:rsidRPr="00ED6862">
        <w:rPr>
          <w:rFonts w:ascii="Times New Roman" w:eastAsia="Calibri" w:hAnsi="Times New Roman" w:cs="Times New Roman"/>
          <w:i/>
          <w:sz w:val="24"/>
          <w:szCs w:val="24"/>
          <w:lang w:val="tt-RU"/>
        </w:rPr>
        <w:t>5</w:t>
      </w:r>
      <w:r w:rsidRPr="00ED6862">
        <w:rPr>
          <w:rFonts w:ascii="Times New Roman" w:eastAsia="Calibri" w:hAnsi="Times New Roman" w:cs="Times New Roman"/>
          <w:i/>
          <w:sz w:val="24"/>
          <w:szCs w:val="24"/>
          <w:lang w:val="tt-RU"/>
        </w:rPr>
        <w:t xml:space="preserve"> год предусмотрено –</w:t>
      </w:r>
      <w:r w:rsidR="00E1456E" w:rsidRPr="00ED6862">
        <w:rPr>
          <w:rFonts w:ascii="Times New Roman" w:eastAsia="Calibri" w:hAnsi="Times New Roman" w:cs="Times New Roman"/>
          <w:i/>
          <w:sz w:val="24"/>
          <w:szCs w:val="24"/>
          <w:lang w:val="tt-RU"/>
        </w:rPr>
        <w:t xml:space="preserve">315 </w:t>
      </w:r>
      <w:r w:rsidRPr="00ED6862">
        <w:rPr>
          <w:rFonts w:ascii="Times New Roman" w:eastAsia="Calibri" w:hAnsi="Times New Roman" w:cs="Times New Roman"/>
          <w:i/>
          <w:sz w:val="24"/>
          <w:szCs w:val="24"/>
          <w:lang w:val="tt-RU"/>
        </w:rPr>
        <w:t>млн. рублей)</w:t>
      </w:r>
      <w:r w:rsidRPr="00ED6862">
        <w:rPr>
          <w:rFonts w:ascii="Times New Roman" w:eastAsia="Calibri" w:hAnsi="Times New Roman" w:cs="Times New Roman"/>
          <w:sz w:val="24"/>
          <w:szCs w:val="24"/>
          <w:lang w:val="tt-RU"/>
        </w:rPr>
        <w:t>;</w:t>
      </w:r>
    </w:p>
    <w:p w:rsidR="001B7855" w:rsidRPr="00ED6862" w:rsidRDefault="00E1456E" w:rsidP="004E10B5">
      <w:pPr>
        <w:tabs>
          <w:tab w:val="left" w:pos="993"/>
        </w:tabs>
        <w:spacing w:after="0" w:line="240" w:lineRule="auto"/>
        <w:ind w:firstLine="709"/>
        <w:jc w:val="both"/>
        <w:rPr>
          <w:rFonts w:ascii="Times New Roman" w:eastAsia="Calibri" w:hAnsi="Times New Roman" w:cs="Times New Roman"/>
          <w:i/>
          <w:sz w:val="24"/>
          <w:szCs w:val="24"/>
          <w:lang w:val="tt-RU"/>
        </w:rPr>
      </w:pPr>
      <w:r w:rsidRPr="00ED6862">
        <w:rPr>
          <w:rFonts w:ascii="Times New Roman" w:eastAsia="Calibri" w:hAnsi="Times New Roman" w:cs="Times New Roman"/>
          <w:sz w:val="24"/>
          <w:szCs w:val="24"/>
          <w:lang w:val="tt-RU"/>
        </w:rPr>
        <w:lastRenderedPageBreak/>
        <w:t>5</w:t>
      </w:r>
      <w:r w:rsidR="001B7855" w:rsidRPr="00ED6862">
        <w:rPr>
          <w:rFonts w:ascii="Times New Roman" w:eastAsia="Calibri" w:hAnsi="Times New Roman" w:cs="Times New Roman"/>
          <w:sz w:val="24"/>
          <w:szCs w:val="24"/>
          <w:lang w:val="tt-RU"/>
        </w:rPr>
        <w:t>.</w:t>
      </w:r>
      <w:r w:rsidR="001B7855" w:rsidRPr="00ED6862">
        <w:rPr>
          <w:rFonts w:ascii="Times New Roman" w:eastAsia="Calibri" w:hAnsi="Times New Roman" w:cs="Times New Roman"/>
          <w:sz w:val="24"/>
          <w:szCs w:val="24"/>
          <w:lang w:val="tt-RU"/>
        </w:rPr>
        <w:tab/>
        <w:t xml:space="preserve">финансирование напрямую подрядчику: средства Фонда развития территорий на жилищно-коммунальное хозяйство </w:t>
      </w:r>
      <w:r w:rsidR="001B7855" w:rsidRPr="00ED6862">
        <w:rPr>
          <w:rFonts w:ascii="Times New Roman" w:eastAsia="Calibri" w:hAnsi="Times New Roman" w:cs="Times New Roman"/>
          <w:i/>
          <w:sz w:val="24"/>
          <w:szCs w:val="24"/>
          <w:lang w:val="tt-RU"/>
        </w:rPr>
        <w:t>(0,328 млн. рублей).</w:t>
      </w:r>
    </w:p>
    <w:p w:rsidR="001B7855" w:rsidRPr="00ED6862" w:rsidRDefault="001B7855" w:rsidP="004E10B5">
      <w:pPr>
        <w:tabs>
          <w:tab w:val="left" w:pos="993"/>
        </w:tabs>
        <w:spacing w:after="0" w:line="240" w:lineRule="auto"/>
        <w:ind w:firstLine="709"/>
        <w:jc w:val="both"/>
        <w:rPr>
          <w:rFonts w:ascii="Times New Roman" w:eastAsia="Calibri" w:hAnsi="Times New Roman" w:cs="Times New Roman"/>
          <w:sz w:val="28"/>
          <w:szCs w:val="28"/>
          <w:lang w:val="tt-RU"/>
        </w:rPr>
      </w:pPr>
      <w:r w:rsidRPr="00ED6862">
        <w:rPr>
          <w:rFonts w:ascii="Times New Roman" w:eastAsia="Calibri" w:hAnsi="Times New Roman" w:cs="Times New Roman"/>
          <w:sz w:val="28"/>
          <w:szCs w:val="28"/>
          <w:lang w:val="tt-RU"/>
        </w:rPr>
        <w:t>В связи с предельным уровнем государственного долга республика в 2023 году не попала в распределение специальных казначейских кредитов, с учетом этого актуальной остается проблема транспортной обеспеченности населения.</w:t>
      </w:r>
    </w:p>
    <w:p w:rsidR="0034039F" w:rsidRPr="00ED6862" w:rsidRDefault="0034039F" w:rsidP="004E10B5">
      <w:pPr>
        <w:spacing w:after="0" w:line="240" w:lineRule="auto"/>
        <w:ind w:firstLine="709"/>
        <w:jc w:val="both"/>
        <w:rPr>
          <w:rFonts w:ascii="Times New Roman" w:hAnsi="Times New Roman" w:cs="Times New Roman"/>
          <w:sz w:val="28"/>
          <w:szCs w:val="28"/>
          <w:lang w:val="tt-RU"/>
        </w:rPr>
      </w:pPr>
    </w:p>
    <w:p w:rsidR="0034039F" w:rsidRPr="00ED6862" w:rsidRDefault="0034039F"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Одним из современных инструментов программно-целевого метода планирования и исполнения бюджета стала реализация национальных проектов. С 2019 года Республика Тыва участвовала в реализации 11 из 12 национальных проектов (кроме национального проекта «Наука»).</w:t>
      </w:r>
    </w:p>
    <w:p w:rsidR="0034039F" w:rsidRPr="00ED6862" w:rsidRDefault="0034039F"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В прошлом году продолжилась работа по реализации 11 национальных проектов, из бюджета направлено 10 649 млн. рублей, 98% этих расходов обеспечено федеральными средствами. За 2023 год республикой в целом выполнена задача по освоению федеральных целевых средств в соответствии с установленными графиком.</w:t>
      </w:r>
    </w:p>
    <w:p w:rsidR="00215555" w:rsidRPr="00ED6862" w:rsidRDefault="00215555" w:rsidP="00215555">
      <w:pPr>
        <w:tabs>
          <w:tab w:val="left" w:pos="993"/>
        </w:tab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В 2024 году в республике реализуются мероприятия по 12 национальным проектам с общим объемом финансового обеспечения 9 338 млн. рублей. Республика Тыва в 2024 году участвует в новом нацпроекте «Беспилотные авиационные системы» с финансированием из федерального бюджета. В рамках реализации национальных проектов планируется ремонт, реконструкция и строительство 90 объектов (переходящих объектов – 12, новых – 78), в том числе 6 общеобразовательных школ, спортивно-культурн</w:t>
      </w:r>
      <w:r w:rsidR="00DD4D62">
        <w:rPr>
          <w:rFonts w:ascii="Times New Roman" w:hAnsi="Times New Roman" w:cs="Times New Roman"/>
          <w:sz w:val="28"/>
          <w:szCs w:val="28"/>
        </w:rPr>
        <w:t>ого</w:t>
      </w:r>
      <w:r w:rsidRPr="00ED6862">
        <w:rPr>
          <w:rFonts w:ascii="Times New Roman" w:hAnsi="Times New Roman" w:cs="Times New Roman"/>
          <w:sz w:val="28"/>
          <w:szCs w:val="28"/>
        </w:rPr>
        <w:t xml:space="preserve"> центр</w:t>
      </w:r>
      <w:r w:rsidR="00DD4D62">
        <w:rPr>
          <w:rFonts w:ascii="Times New Roman" w:hAnsi="Times New Roman" w:cs="Times New Roman"/>
          <w:sz w:val="28"/>
          <w:szCs w:val="28"/>
        </w:rPr>
        <w:t>а</w:t>
      </w:r>
      <w:r w:rsidRPr="00ED6862">
        <w:rPr>
          <w:rFonts w:ascii="Times New Roman" w:hAnsi="Times New Roman" w:cs="Times New Roman"/>
          <w:sz w:val="28"/>
          <w:szCs w:val="28"/>
        </w:rPr>
        <w:t xml:space="preserve"> пгт. Каа-Хем, дом-интернат</w:t>
      </w:r>
      <w:r w:rsidR="00DD4D62">
        <w:rPr>
          <w:rFonts w:ascii="Times New Roman" w:hAnsi="Times New Roman" w:cs="Times New Roman"/>
          <w:sz w:val="28"/>
          <w:szCs w:val="28"/>
        </w:rPr>
        <w:t>а</w:t>
      </w:r>
      <w:r w:rsidRPr="00ED6862">
        <w:rPr>
          <w:rFonts w:ascii="Times New Roman" w:hAnsi="Times New Roman" w:cs="Times New Roman"/>
          <w:sz w:val="28"/>
          <w:szCs w:val="28"/>
        </w:rPr>
        <w:t xml:space="preserve"> в с. Дерзиг-Аксы Каа-Хемского кожууна, капитальн</w:t>
      </w:r>
      <w:r w:rsidR="00DD4D62">
        <w:rPr>
          <w:rFonts w:ascii="Times New Roman" w:hAnsi="Times New Roman" w:cs="Times New Roman"/>
          <w:sz w:val="28"/>
          <w:szCs w:val="28"/>
        </w:rPr>
        <w:t>ого</w:t>
      </w:r>
      <w:r w:rsidRPr="00ED6862">
        <w:rPr>
          <w:rFonts w:ascii="Times New Roman" w:hAnsi="Times New Roman" w:cs="Times New Roman"/>
          <w:sz w:val="28"/>
          <w:szCs w:val="28"/>
        </w:rPr>
        <w:t xml:space="preserve"> ремонт</w:t>
      </w:r>
      <w:r w:rsidR="00DD4D62">
        <w:rPr>
          <w:rFonts w:ascii="Times New Roman" w:hAnsi="Times New Roman" w:cs="Times New Roman"/>
          <w:sz w:val="28"/>
          <w:szCs w:val="28"/>
        </w:rPr>
        <w:t>а</w:t>
      </w:r>
      <w:r w:rsidRPr="00ED6862">
        <w:rPr>
          <w:rFonts w:ascii="Times New Roman" w:hAnsi="Times New Roman" w:cs="Times New Roman"/>
          <w:sz w:val="28"/>
          <w:szCs w:val="28"/>
        </w:rPr>
        <w:t xml:space="preserve"> школ искусств, 2 домов культуры, ФАПов, поликлиник, а также 7 общественных территорий и 2 объект</w:t>
      </w:r>
      <w:r w:rsidR="00DD4D62">
        <w:rPr>
          <w:rFonts w:ascii="Times New Roman" w:hAnsi="Times New Roman" w:cs="Times New Roman"/>
          <w:sz w:val="28"/>
          <w:szCs w:val="28"/>
        </w:rPr>
        <w:t>ов</w:t>
      </w:r>
      <w:r w:rsidRPr="00ED6862">
        <w:rPr>
          <w:rFonts w:ascii="Times New Roman" w:hAnsi="Times New Roman" w:cs="Times New Roman"/>
          <w:sz w:val="28"/>
          <w:szCs w:val="28"/>
        </w:rPr>
        <w:t xml:space="preserve"> питьевого водоснабжения.</w:t>
      </w:r>
    </w:p>
    <w:p w:rsidR="001B7855" w:rsidRPr="00ED6862" w:rsidRDefault="00215555" w:rsidP="00215555">
      <w:pPr>
        <w:tabs>
          <w:tab w:val="left" w:pos="993"/>
        </w:tabs>
        <w:spacing w:after="0" w:line="240" w:lineRule="auto"/>
        <w:ind w:firstLine="709"/>
        <w:jc w:val="both"/>
        <w:rPr>
          <w:rFonts w:ascii="Times New Roman" w:eastAsia="Calibri" w:hAnsi="Times New Roman" w:cs="Times New Roman"/>
          <w:i/>
          <w:sz w:val="28"/>
          <w:szCs w:val="28"/>
          <w:lang w:val="tt-RU"/>
        </w:rPr>
      </w:pPr>
      <w:r w:rsidRPr="00ED6862">
        <w:rPr>
          <w:rFonts w:ascii="Times New Roman" w:hAnsi="Times New Roman" w:cs="Times New Roman"/>
          <w:sz w:val="28"/>
          <w:szCs w:val="28"/>
        </w:rPr>
        <w:t>В 2025 году Республика Тыва продолжит реализацию мероприятий на достижение национальных целей развития Российской Федерации на период до 2030 года и на перспективу до 2036 года по Указу Президента РФ.</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Calibri" w:hAnsi="Times New Roman" w:cs="Times New Roman"/>
          <w:sz w:val="28"/>
          <w:szCs w:val="28"/>
          <w:shd w:val="clear" w:color="auto" w:fill="FFFFFF"/>
        </w:rPr>
        <w:t>В</w:t>
      </w:r>
      <w:r w:rsidRPr="00ED6862">
        <w:rPr>
          <w:rFonts w:ascii="Times New Roman" w:eastAsia="Times New Roman" w:hAnsi="Times New Roman" w:cs="Times New Roman"/>
          <w:color w:val="000000"/>
          <w:sz w:val="28"/>
          <w:szCs w:val="28"/>
          <w:lang w:eastAsia="ru-RU"/>
        </w:rPr>
        <w:t xml:space="preserve"> структуре расходов бюджета Республики Тыва без учета целевых федеральных средств за 2023 год доля социально значимых расходов составляет 78 %, это расходы на оплату труда работников бюджетной сферы, социальные выплаты населению, взносы на обязательное медицинское страхование неработающего населения, оплату коммунальных услуг, поддержку предприятий жизнеобеспечения (ТЭК, ДЭС, ЖКХ).</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Также ежегодно имеются дополнительные расходы на содержание новой бюджетной сети, в 2023 году было завершено строительство 14 объектов социальной сферы,</w:t>
      </w:r>
      <w:r w:rsidR="00C002C3" w:rsidRPr="00ED6862">
        <w:rPr>
          <w:rFonts w:ascii="Times New Roman" w:eastAsia="Times New Roman" w:hAnsi="Times New Roman" w:cs="Times New Roman"/>
          <w:color w:val="000000"/>
          <w:sz w:val="28"/>
          <w:szCs w:val="28"/>
          <w:lang w:eastAsia="ru-RU"/>
        </w:rPr>
        <w:t xml:space="preserve"> в 2024 году</w:t>
      </w:r>
      <w:r w:rsidR="00352A25" w:rsidRPr="00ED6862">
        <w:rPr>
          <w:rFonts w:ascii="Times New Roman" w:eastAsia="Times New Roman" w:hAnsi="Times New Roman" w:cs="Times New Roman"/>
          <w:color w:val="000000"/>
          <w:sz w:val="28"/>
          <w:szCs w:val="28"/>
          <w:lang w:eastAsia="ru-RU"/>
        </w:rPr>
        <w:t xml:space="preserve"> введены в эксплуатацию</w:t>
      </w:r>
      <w:r w:rsidR="00C002C3" w:rsidRPr="00ED6862">
        <w:rPr>
          <w:rFonts w:ascii="Times New Roman" w:eastAsia="Times New Roman" w:hAnsi="Times New Roman" w:cs="Times New Roman"/>
          <w:color w:val="000000"/>
          <w:sz w:val="28"/>
          <w:szCs w:val="28"/>
          <w:lang w:eastAsia="ru-RU"/>
        </w:rPr>
        <w:t xml:space="preserve"> 4 объек</w:t>
      </w:r>
      <w:r w:rsidR="00352A25" w:rsidRPr="00ED6862">
        <w:rPr>
          <w:rFonts w:ascii="Times New Roman" w:eastAsia="Times New Roman" w:hAnsi="Times New Roman" w:cs="Times New Roman"/>
          <w:color w:val="000000"/>
          <w:sz w:val="28"/>
          <w:szCs w:val="28"/>
          <w:lang w:eastAsia="ru-RU"/>
        </w:rPr>
        <w:t>та</w:t>
      </w:r>
      <w:r w:rsidR="00C002C3" w:rsidRPr="00ED6862">
        <w:rPr>
          <w:rFonts w:ascii="Times New Roman" w:eastAsia="Times New Roman" w:hAnsi="Times New Roman" w:cs="Times New Roman"/>
          <w:color w:val="000000"/>
          <w:sz w:val="28"/>
          <w:szCs w:val="28"/>
          <w:lang w:eastAsia="ru-RU"/>
        </w:rPr>
        <w:t>,</w:t>
      </w:r>
      <w:r w:rsidRPr="00ED6862">
        <w:rPr>
          <w:rFonts w:ascii="Times New Roman" w:eastAsia="Times New Roman" w:hAnsi="Times New Roman" w:cs="Times New Roman"/>
          <w:color w:val="000000"/>
          <w:sz w:val="28"/>
          <w:szCs w:val="28"/>
          <w:lang w:eastAsia="ru-RU"/>
        </w:rPr>
        <w:t xml:space="preserve"> в том числе наибольшее количество в рамках реализации национальных проектов: </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w:t>
      </w:r>
      <w:r w:rsidRPr="00ED6862">
        <w:rPr>
          <w:rFonts w:ascii="Times New Roman" w:eastAsia="Times New Roman" w:hAnsi="Times New Roman" w:cs="Times New Roman"/>
          <w:color w:val="000000"/>
          <w:sz w:val="28"/>
          <w:szCs w:val="28"/>
          <w:lang w:eastAsia="ru-RU"/>
        </w:rPr>
        <w:tab/>
        <w:t xml:space="preserve">в области образования </w:t>
      </w:r>
      <w:r w:rsidR="00C002C3" w:rsidRPr="00ED6862">
        <w:rPr>
          <w:rFonts w:ascii="Times New Roman" w:eastAsia="Times New Roman" w:hAnsi="Times New Roman" w:cs="Times New Roman"/>
          <w:color w:val="000000"/>
          <w:sz w:val="28"/>
          <w:szCs w:val="28"/>
          <w:lang w:eastAsia="ru-RU"/>
        </w:rPr>
        <w:t>9</w:t>
      </w:r>
      <w:r w:rsidRPr="00ED6862">
        <w:rPr>
          <w:rFonts w:ascii="Times New Roman" w:eastAsia="Times New Roman" w:hAnsi="Times New Roman" w:cs="Times New Roman"/>
          <w:color w:val="000000"/>
          <w:sz w:val="28"/>
          <w:szCs w:val="28"/>
          <w:lang w:eastAsia="ru-RU"/>
        </w:rPr>
        <w:t xml:space="preserve"> новых объектов;</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w:t>
      </w:r>
      <w:r w:rsidRPr="00ED6862">
        <w:rPr>
          <w:rFonts w:ascii="Times New Roman" w:eastAsia="Times New Roman" w:hAnsi="Times New Roman" w:cs="Times New Roman"/>
          <w:color w:val="000000"/>
          <w:sz w:val="28"/>
          <w:szCs w:val="28"/>
          <w:lang w:eastAsia="ru-RU"/>
        </w:rPr>
        <w:tab/>
        <w:t>в области культуры 1 новый объект «Центр культурного развития»;</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w:t>
      </w:r>
      <w:r w:rsidRPr="00ED6862">
        <w:rPr>
          <w:rFonts w:ascii="Times New Roman" w:eastAsia="Times New Roman" w:hAnsi="Times New Roman" w:cs="Times New Roman"/>
          <w:color w:val="000000"/>
          <w:sz w:val="28"/>
          <w:szCs w:val="28"/>
          <w:lang w:eastAsia="ru-RU"/>
        </w:rPr>
        <w:tab/>
        <w:t>в области здравоохранения 8 объектов взамен существующих.</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lastRenderedPageBreak/>
        <w:t>22% приходится на остальные расходы по содержанию бюджетной сети и реализации мероприятий государственных программ. В связи с дефицитом средств бюджета расходы ежегодно подлежат оптимизации и приоритизации.</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Республика Тыва относится к высокодотационным регионам, к которым бюджетным законодательством установлены обязательства и ограничения при планировании и исполнении региональных бюджетов.</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Ежегодно бюджет республики планируется с предельно допустимым дефицитом, при этом имеются не обеспеченные источниками финансирования государственные полномочия по наиболее острым социально значимым вопросам. Дополнительная потребность в финансовых средствах для решения данных вопросов и создания условий для снижения правонарушений, таким, как обеспечение жильем отдельных категорий граждан и строительство дошкольных учреждений, построение и внедрение АПК «Безопасный город» на территории республики, оценивается в общей сумме более 26,8 млрд. рублей.</w:t>
      </w:r>
    </w:p>
    <w:p w:rsidR="007C5B76" w:rsidRPr="00ED6862" w:rsidRDefault="007C5B76"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p>
    <w:p w:rsidR="001B7855" w:rsidRPr="00ED6862" w:rsidRDefault="00A4275F"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xml:space="preserve">В связи с дефицитом средств бюджета в 2023-2024 </w:t>
      </w:r>
      <w:r w:rsidR="001B7855" w:rsidRPr="00ED6862">
        <w:rPr>
          <w:rFonts w:ascii="Times New Roman" w:eastAsia="Times New Roman" w:hAnsi="Times New Roman" w:cs="Times New Roman"/>
          <w:color w:val="000000"/>
          <w:sz w:val="28"/>
          <w:szCs w:val="28"/>
          <w:lang w:eastAsia="ru-RU"/>
        </w:rPr>
        <w:t>год</w:t>
      </w:r>
      <w:r w:rsidRPr="00ED6862">
        <w:rPr>
          <w:rFonts w:ascii="Times New Roman" w:eastAsia="Times New Roman" w:hAnsi="Times New Roman" w:cs="Times New Roman"/>
          <w:color w:val="000000"/>
          <w:sz w:val="28"/>
          <w:szCs w:val="28"/>
          <w:lang w:eastAsia="ru-RU"/>
        </w:rPr>
        <w:t>ах наиболее проблемным вопросом является обеспечение фонда оплаты труда работников бюджетной сферы в полном объеме.</w:t>
      </w:r>
      <w:r w:rsidR="001B7855" w:rsidRPr="00ED6862">
        <w:rPr>
          <w:rFonts w:ascii="Times New Roman" w:eastAsia="Times New Roman" w:hAnsi="Times New Roman" w:cs="Times New Roman"/>
          <w:color w:val="000000"/>
          <w:sz w:val="28"/>
          <w:szCs w:val="28"/>
          <w:lang w:eastAsia="ru-RU"/>
        </w:rPr>
        <w:t xml:space="preserve"> Правительством Республики Тыва принима</w:t>
      </w:r>
      <w:r w:rsidRPr="00ED6862">
        <w:rPr>
          <w:rFonts w:ascii="Times New Roman" w:eastAsia="Times New Roman" w:hAnsi="Times New Roman" w:cs="Times New Roman"/>
          <w:color w:val="000000"/>
          <w:sz w:val="28"/>
          <w:szCs w:val="28"/>
          <w:lang w:eastAsia="ru-RU"/>
        </w:rPr>
        <w:t>ются</w:t>
      </w:r>
      <w:r w:rsidR="001B7855" w:rsidRPr="00ED6862">
        <w:rPr>
          <w:rFonts w:ascii="Times New Roman" w:eastAsia="Times New Roman" w:hAnsi="Times New Roman" w:cs="Times New Roman"/>
          <w:color w:val="000000"/>
          <w:sz w:val="28"/>
          <w:szCs w:val="28"/>
          <w:lang w:eastAsia="ru-RU"/>
        </w:rPr>
        <w:t xml:space="preserve"> все возможные меры по обеспечению выплаты зарплаты в полном объеме:</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xml:space="preserve">– при расчете потребности средств на повышение фонда оплаты труда используется консервативный вариант размера средней заработной платы по региону согласно прогнозу социально-экономического развития. </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xml:space="preserve">– в течение года проводится работа по не снижению достигнутого уровня оплаты труда; </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принимаются меры по оптимизации расходов бюджета и увеличению собственных доходов;</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xml:space="preserve">– привлечение в конце года дополнительной финансовой помощи из федерального бюджета. </w:t>
      </w:r>
    </w:p>
    <w:p w:rsidR="001B7855" w:rsidRPr="00ED6862" w:rsidRDefault="007C5B76"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xml:space="preserve">Принятые меры позволили обеспечить в конце 2023 года </w:t>
      </w:r>
      <w:r w:rsidR="001B7855" w:rsidRPr="00ED6862">
        <w:rPr>
          <w:rFonts w:ascii="Times New Roman" w:eastAsia="Times New Roman" w:hAnsi="Times New Roman" w:cs="Times New Roman"/>
          <w:color w:val="000000"/>
          <w:sz w:val="28"/>
          <w:szCs w:val="28"/>
          <w:lang w:eastAsia="ru-RU"/>
        </w:rPr>
        <w:t>фонд оплаты труда</w:t>
      </w:r>
      <w:r w:rsidRPr="00ED6862">
        <w:rPr>
          <w:rFonts w:ascii="Times New Roman" w:eastAsia="Times New Roman" w:hAnsi="Times New Roman" w:cs="Times New Roman"/>
          <w:color w:val="000000"/>
          <w:sz w:val="28"/>
          <w:szCs w:val="28"/>
          <w:lang w:eastAsia="ru-RU"/>
        </w:rPr>
        <w:t xml:space="preserve"> работников бюджетной сферы в полном объеме, в течение года</w:t>
      </w:r>
      <w:r w:rsidR="001B7855" w:rsidRPr="00ED6862">
        <w:rPr>
          <w:rFonts w:ascii="Times New Roman" w:eastAsia="Times New Roman" w:hAnsi="Times New Roman" w:cs="Times New Roman"/>
          <w:color w:val="000000"/>
          <w:sz w:val="28"/>
          <w:szCs w:val="28"/>
          <w:lang w:eastAsia="ru-RU"/>
        </w:rPr>
        <w:t xml:space="preserve"> дополнительно направлено 3,8 млрд. рублей (за счет дополнительной финансовой помощи в сумме 2,3 млрд. рублей и за счет увеличения поступлений собственных доходов и оптимизационных мер на 1,5 млрд. рублей).</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В течение 2023 года в целях обеспечения ликвидности единого счета бюджета использовалось заимствование остатков с казначейских счетов, в том числе для удержания объема государственного долга не привлекались в запланированном объеме коммерческие кредиты для покрытия планового дефицита бюджета. В связи с этим на начало года образовались переходящие обязательства по восстановлению данных остатков.</w:t>
      </w:r>
    </w:p>
    <w:p w:rsidR="004F224C" w:rsidRPr="00ED6862" w:rsidRDefault="004F224C" w:rsidP="004F224C">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xml:space="preserve">В 2024 году принятые меры позволили обеспечить фонд оплаты труда работников бюджетной сферы в </w:t>
      </w:r>
      <w:r w:rsidR="00616531" w:rsidRPr="00ED6862">
        <w:rPr>
          <w:rFonts w:ascii="Times New Roman" w:eastAsia="Times New Roman" w:hAnsi="Times New Roman" w:cs="Times New Roman"/>
          <w:color w:val="000000"/>
          <w:sz w:val="28"/>
          <w:szCs w:val="28"/>
          <w:lang w:eastAsia="ru-RU"/>
        </w:rPr>
        <w:t>объеме 2 145 млн. рублей или 68</w:t>
      </w:r>
      <w:r w:rsidRPr="00ED6862">
        <w:rPr>
          <w:rFonts w:ascii="Times New Roman" w:eastAsia="Times New Roman" w:hAnsi="Times New Roman" w:cs="Times New Roman"/>
          <w:color w:val="000000"/>
          <w:sz w:val="28"/>
          <w:szCs w:val="28"/>
          <w:lang w:eastAsia="ru-RU"/>
        </w:rPr>
        <w:t xml:space="preserve">% всего дополнительной потребности (за счет дополнительной финансовой помощи в </w:t>
      </w:r>
      <w:r w:rsidRPr="00ED6862">
        <w:rPr>
          <w:rFonts w:ascii="Times New Roman" w:eastAsia="Times New Roman" w:hAnsi="Times New Roman" w:cs="Times New Roman"/>
          <w:color w:val="000000"/>
          <w:sz w:val="28"/>
          <w:szCs w:val="28"/>
          <w:lang w:eastAsia="ru-RU"/>
        </w:rPr>
        <w:lastRenderedPageBreak/>
        <w:t>сумме 1,5 млрд. рублей и за счет увеличения поступлений собственных доходов и оптимизационных мер на 0,6 млрд. рублей).</w:t>
      </w:r>
    </w:p>
    <w:p w:rsidR="004F224C" w:rsidRPr="00ED6862" w:rsidRDefault="004F224C" w:rsidP="004F224C">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Несмотря на принимаемые меры</w:t>
      </w:r>
      <w:r w:rsidR="00B04C27" w:rsidRPr="00ED6862">
        <w:rPr>
          <w:rFonts w:ascii="Times New Roman" w:eastAsia="Times New Roman" w:hAnsi="Times New Roman" w:cs="Times New Roman"/>
          <w:color w:val="000000"/>
          <w:sz w:val="28"/>
          <w:szCs w:val="28"/>
          <w:lang w:eastAsia="ru-RU"/>
        </w:rPr>
        <w:t>,</w:t>
      </w:r>
      <w:r w:rsidRPr="00ED6862">
        <w:rPr>
          <w:rFonts w:ascii="Times New Roman" w:eastAsia="Times New Roman" w:hAnsi="Times New Roman" w:cs="Times New Roman"/>
          <w:color w:val="000000"/>
          <w:sz w:val="28"/>
          <w:szCs w:val="28"/>
          <w:lang w:eastAsia="ru-RU"/>
        </w:rPr>
        <w:t xml:space="preserve"> необеспеченная  потребность на фонд оплаты труда декабря составит в сумме 793 млн. рублей.</w:t>
      </w:r>
    </w:p>
    <w:p w:rsidR="001B7855" w:rsidRPr="00ED6862" w:rsidRDefault="001B7855" w:rsidP="004E10B5">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val="tt-RU" w:eastAsia="ru-RU"/>
        </w:rPr>
      </w:pPr>
    </w:p>
    <w:p w:rsidR="001B7855" w:rsidRPr="00ED6862" w:rsidRDefault="001B7855"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shd w:val="clear" w:color="auto" w:fill="FFFFFF"/>
        </w:rPr>
        <w:t>В 2024 году исполнение бюджета Республики Тыва осуществляется в рам</w:t>
      </w:r>
      <w:r w:rsidR="00152EE0" w:rsidRPr="00ED6862">
        <w:rPr>
          <w:rFonts w:ascii="Times New Roman" w:hAnsi="Times New Roman" w:cs="Times New Roman"/>
          <w:sz w:val="28"/>
          <w:szCs w:val="28"/>
          <w:shd w:val="clear" w:color="auto" w:fill="FFFFFF"/>
        </w:rPr>
        <w:t>ках запланированных параметров.</w:t>
      </w:r>
    </w:p>
    <w:p w:rsidR="001B7855" w:rsidRPr="00ED6862" w:rsidRDefault="004670FE"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О</w:t>
      </w:r>
      <w:r w:rsidR="001B7855" w:rsidRPr="00ED6862">
        <w:rPr>
          <w:rFonts w:ascii="Times New Roman" w:hAnsi="Times New Roman" w:cs="Times New Roman"/>
          <w:sz w:val="28"/>
          <w:szCs w:val="28"/>
        </w:rPr>
        <w:t>бщий объем доходов консолидированного бюджета предусмотрен в сумме 59 864 млн. рублей (из них 24% собственные доходы, 76% безвозмездные поступления), расходов 60 462 млн. рублей, дефицит составляет 598 млн. рублей.</w:t>
      </w:r>
    </w:p>
    <w:p w:rsidR="001B7855" w:rsidRPr="00ED6862" w:rsidRDefault="001B7855"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Собственные доходы запланированы в сумме 14 161 млн. рублей с ростом к прошлому году на 9%. Ежегодный средний прирост собственных доходов за последние 5 лет составляет 14% или 1 200 млн. рублей, что выше среднероссийских темпов (по РФ – 12%, СФО – 13%).</w:t>
      </w:r>
    </w:p>
    <w:p w:rsidR="00B53DC8" w:rsidRPr="00ED6862" w:rsidRDefault="00B53DC8" w:rsidP="004E10B5">
      <w:pPr>
        <w:spacing w:after="0" w:line="240" w:lineRule="auto"/>
        <w:ind w:firstLine="709"/>
        <w:jc w:val="both"/>
        <w:rPr>
          <w:rFonts w:ascii="Times New Roman" w:hAnsi="Times New Roman" w:cs="Times New Roman"/>
          <w:sz w:val="28"/>
          <w:szCs w:val="28"/>
        </w:rPr>
      </w:pPr>
    </w:p>
    <w:p w:rsidR="007C5B76" w:rsidRPr="00ED6862" w:rsidRDefault="007C5B76" w:rsidP="004E10B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D6862">
        <w:rPr>
          <w:rFonts w:ascii="Times New Roman" w:eastAsia="Times New Roman" w:hAnsi="Times New Roman" w:cs="Times New Roman"/>
          <w:bCs/>
          <w:color w:val="000000"/>
          <w:sz w:val="28"/>
          <w:szCs w:val="28"/>
          <w:lang w:eastAsia="ru-RU" w:bidi="ru-RU"/>
        </w:rPr>
        <w:t xml:space="preserve">В структуре финансовой помощи на 2024 год дотации занимают 57% или запланированы в общем объеме 26 034 млн. рублей или с ростом на 7% к уровню 2023 г. В течение 2024 года предоставлены дотации на поддержку мер по обеспечению сбалансированности в сумме 1 731 млн. рублей на финансовое обеспечение первоочередных расходов (оплата труда работников бюджетной сферы, социальная поддержка участников СВО и их семей). </w:t>
      </w:r>
    </w:p>
    <w:p w:rsidR="007C5B76" w:rsidRPr="00ED6862" w:rsidRDefault="007C5B76" w:rsidP="004E10B5">
      <w:pPr>
        <w:spacing w:after="0" w:line="240" w:lineRule="auto"/>
        <w:ind w:firstLine="709"/>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С 2019 г. объем привлекаемых из федерального бюджета целевых субсидий и иных межбюджетных трансфертов увеличился в 3 раза, что связано с защитой республикой федеральных целевых средств на реализацию национальных проектов. В 2024 г. доля федеральных трансфертов достигла 32% в общем объеме доходов бюджета.</w:t>
      </w:r>
    </w:p>
    <w:p w:rsidR="007C5B76" w:rsidRPr="00ED6862" w:rsidRDefault="007C5B76" w:rsidP="004E10B5">
      <w:pPr>
        <w:spacing w:after="0" w:line="240" w:lineRule="auto"/>
        <w:ind w:firstLine="709"/>
        <w:jc w:val="both"/>
        <w:rPr>
          <w:rFonts w:ascii="Times New Roman" w:eastAsia="Times New Roman" w:hAnsi="Times New Roman" w:cs="Times New Roman"/>
          <w:sz w:val="28"/>
          <w:szCs w:val="28"/>
          <w:lang w:eastAsia="ru-RU"/>
        </w:rPr>
      </w:pPr>
    </w:p>
    <w:p w:rsidR="00966CCC" w:rsidRPr="00ED6862" w:rsidRDefault="007851F2" w:rsidP="004E10B5">
      <w:pPr>
        <w:tabs>
          <w:tab w:val="left" w:pos="993"/>
        </w:tabs>
        <w:spacing w:after="0" w:line="240" w:lineRule="auto"/>
        <w:ind w:firstLine="709"/>
        <w:jc w:val="both"/>
        <w:rPr>
          <w:rFonts w:ascii="Times New Roman" w:eastAsia="Times New Roman" w:hAnsi="Times New Roman" w:cs="Times New Roman"/>
          <w:b/>
          <w:i/>
          <w:color w:val="000000"/>
          <w:sz w:val="28"/>
          <w:szCs w:val="28"/>
          <w:lang w:eastAsia="ru-RU"/>
        </w:rPr>
      </w:pPr>
      <w:r w:rsidRPr="00ED6862">
        <w:rPr>
          <w:rFonts w:ascii="Times New Roman" w:eastAsia="Times New Roman" w:hAnsi="Times New Roman" w:cs="Times New Roman"/>
          <w:b/>
          <w:i/>
          <w:color w:val="000000"/>
          <w:sz w:val="28"/>
          <w:szCs w:val="28"/>
          <w:lang w:eastAsia="ru-RU"/>
        </w:rPr>
        <w:t>В соответствии с Посланием Президента России на 2024 год</w:t>
      </w:r>
      <w:r w:rsidR="00061BD9" w:rsidRPr="00ED6862">
        <w:rPr>
          <w:rFonts w:ascii="Times New Roman" w:eastAsia="Times New Roman" w:hAnsi="Times New Roman" w:cs="Times New Roman"/>
          <w:b/>
          <w:i/>
          <w:color w:val="000000"/>
          <w:sz w:val="28"/>
          <w:szCs w:val="28"/>
          <w:lang w:eastAsia="ru-RU"/>
        </w:rPr>
        <w:t xml:space="preserve"> республикой в части бюджетной политики проводится работа по следующим </w:t>
      </w:r>
      <w:r w:rsidR="00C82908" w:rsidRPr="00ED6862">
        <w:rPr>
          <w:rFonts w:ascii="Times New Roman" w:eastAsia="Times New Roman" w:hAnsi="Times New Roman" w:cs="Times New Roman"/>
          <w:b/>
          <w:i/>
          <w:color w:val="000000"/>
          <w:sz w:val="28"/>
          <w:szCs w:val="28"/>
          <w:lang w:eastAsia="ru-RU"/>
        </w:rPr>
        <w:t>вопросам</w:t>
      </w:r>
      <w:r w:rsidR="00061BD9" w:rsidRPr="00ED6862">
        <w:rPr>
          <w:rFonts w:ascii="Times New Roman" w:eastAsia="Times New Roman" w:hAnsi="Times New Roman" w:cs="Times New Roman"/>
          <w:b/>
          <w:i/>
          <w:color w:val="000000"/>
          <w:sz w:val="28"/>
          <w:szCs w:val="28"/>
          <w:lang w:eastAsia="ru-RU"/>
        </w:rPr>
        <w:t>:</w:t>
      </w:r>
    </w:p>
    <w:p w:rsidR="00061BD9" w:rsidRPr="00ED6862" w:rsidRDefault="00061BD9" w:rsidP="004E10B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возможность продления срока льготной ипотечной программы для жителей Республики Тыва;</w:t>
      </w:r>
    </w:p>
    <w:p w:rsidR="00061BD9" w:rsidRPr="00ED6862" w:rsidRDefault="00061BD9" w:rsidP="004E10B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установление отдельных условий для высокодотационных регионов при утверждении федеральных порядков о списании бюджетных кредитов;</w:t>
      </w:r>
    </w:p>
    <w:p w:rsidR="00061BD9" w:rsidRPr="00ED6862" w:rsidRDefault="00061BD9" w:rsidP="004E10B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включение Республики Тыва в перечень пилотных регионов для внедрения новой модели оплаты труда бюджетников;</w:t>
      </w:r>
    </w:p>
    <w:p w:rsidR="00061BD9" w:rsidRPr="00ED6862" w:rsidRDefault="00061BD9" w:rsidP="004E10B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color w:val="000000"/>
          <w:sz w:val="28"/>
          <w:szCs w:val="28"/>
          <w:lang w:eastAsia="ru-RU"/>
        </w:rPr>
        <w:t>– установление отдельных условий для высокодотационных регионов и сохранение для Республики Тыва уровня софинансирования из федерального бюджета в размере 99%.</w:t>
      </w:r>
    </w:p>
    <w:p w:rsidR="00C82908" w:rsidRPr="00ED6862" w:rsidRDefault="00C82908" w:rsidP="004E10B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
    <w:p w:rsidR="008A664E" w:rsidRPr="00ED6862" w:rsidRDefault="008A664E" w:rsidP="004E10B5">
      <w:pPr>
        <w:autoSpaceDE w:val="0"/>
        <w:autoSpaceDN w:val="0"/>
        <w:adjustRightInd w:val="0"/>
        <w:spacing w:after="0" w:line="240" w:lineRule="auto"/>
        <w:ind w:firstLine="709"/>
        <w:jc w:val="both"/>
        <w:rPr>
          <w:rFonts w:ascii="Times New Roman" w:hAnsi="Times New Roman" w:cs="Times New Roman"/>
          <w:b/>
          <w:bCs/>
          <w:i/>
          <w:sz w:val="28"/>
          <w:szCs w:val="28"/>
        </w:rPr>
      </w:pPr>
      <w:r w:rsidRPr="00ED6862">
        <w:rPr>
          <w:rFonts w:ascii="Times New Roman" w:hAnsi="Times New Roman" w:cs="Times New Roman"/>
          <w:b/>
          <w:bCs/>
          <w:i/>
          <w:sz w:val="28"/>
          <w:szCs w:val="28"/>
        </w:rPr>
        <w:t>Реализация льготной ипотечной программы в Республике Тыва</w:t>
      </w:r>
    </w:p>
    <w:p w:rsidR="00353502" w:rsidRPr="00ED6862" w:rsidRDefault="00353502" w:rsidP="004E10B5">
      <w:pPr>
        <w:autoSpaceDE w:val="0"/>
        <w:autoSpaceDN w:val="0"/>
        <w:adjustRightInd w:val="0"/>
        <w:spacing w:after="0" w:line="240" w:lineRule="auto"/>
        <w:ind w:firstLine="709"/>
        <w:jc w:val="both"/>
        <w:rPr>
          <w:rFonts w:ascii="Times New Roman" w:hAnsi="Times New Roman" w:cs="Times New Roman"/>
          <w:bCs/>
          <w:sz w:val="28"/>
          <w:szCs w:val="28"/>
        </w:rPr>
      </w:pPr>
    </w:p>
    <w:p w:rsidR="00C82908" w:rsidRPr="00ED6862" w:rsidRDefault="00C82908" w:rsidP="004E10B5">
      <w:pPr>
        <w:autoSpaceDE w:val="0"/>
        <w:autoSpaceDN w:val="0"/>
        <w:adjustRightInd w:val="0"/>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bCs/>
          <w:sz w:val="28"/>
          <w:szCs w:val="28"/>
        </w:rPr>
        <w:lastRenderedPageBreak/>
        <w:t xml:space="preserve">В целях социально-экономического развития региона Правительством России поддержана реализации льготной ипотечной программы на территории Республики Тыва с финансовой поддержкой из федерального бюджета. </w:t>
      </w:r>
      <w:r w:rsidRPr="00ED6862">
        <w:rPr>
          <w:rFonts w:ascii="Times New Roman" w:hAnsi="Times New Roman" w:cs="Times New Roman"/>
          <w:sz w:val="28"/>
          <w:szCs w:val="28"/>
        </w:rPr>
        <w:t>С 2023 года предоставляются иные межбюджетные трансферты из федерального бюджета в целях софинансирования льготной ипотечной программы, что позволило повысить доступность жилья для граждан, а также стимулирование строительной отрасли в Республике Тыва.</w:t>
      </w:r>
    </w:p>
    <w:p w:rsidR="00C82908" w:rsidRPr="00ED6862" w:rsidRDefault="00C82908" w:rsidP="004E10B5">
      <w:pPr>
        <w:autoSpaceDE w:val="0"/>
        <w:autoSpaceDN w:val="0"/>
        <w:adjustRightInd w:val="0"/>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Благодаря реализации льготной ипотеки по ставке 2% республике улучшило свои жилищные условия 2 355 семей или порядка 9 тыс. человек (при расчете семьи из 4 человек), целевой показатель выполнен на 108% или с увеличением на 183 ипотечных кредитов (ЦП – 2 172 ипотечных кредита), в том числе:</w:t>
      </w:r>
    </w:p>
    <w:p w:rsidR="00C82908" w:rsidRPr="00ED6862" w:rsidRDefault="00C82908" w:rsidP="004E10B5">
      <w:pPr>
        <w:autoSpaceDE w:val="0"/>
        <w:autoSpaceDN w:val="0"/>
        <w:adjustRightInd w:val="0"/>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в 2023 году – 1 010 ипотечных кредитов (ПАО Сбербанк – 993 ед., Росбанк  -17 ед.);</w:t>
      </w:r>
    </w:p>
    <w:p w:rsidR="00C82908" w:rsidRPr="00ED6862" w:rsidRDefault="00C82908" w:rsidP="004E10B5">
      <w:pPr>
        <w:autoSpaceDE w:val="0"/>
        <w:autoSpaceDN w:val="0"/>
        <w:adjustRightInd w:val="0"/>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в 2024 году – 1 345 ипотечных кредитов (ПАО Сбербанк – 1 330 ед., Росбанк -15 ед.).</w:t>
      </w:r>
    </w:p>
    <w:p w:rsidR="00C82908" w:rsidRPr="00ED6862" w:rsidRDefault="00C82908" w:rsidP="004E10B5">
      <w:pPr>
        <w:autoSpaceDE w:val="0"/>
        <w:autoSpaceDN w:val="0"/>
        <w:adjustRightInd w:val="0"/>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Достижение и даже превышение целевого показателя подтверждает востребованность льготной ипотеки на территории республики. В связи с этим планируется проработать продление льготной ипотеки до 2030 года.</w:t>
      </w:r>
    </w:p>
    <w:p w:rsidR="008A664E" w:rsidRPr="00ED6862" w:rsidRDefault="008A664E" w:rsidP="004E10B5">
      <w:pPr>
        <w:tabs>
          <w:tab w:val="left" w:pos="993"/>
        </w:tabs>
        <w:spacing w:after="0" w:line="240" w:lineRule="auto"/>
        <w:ind w:firstLine="709"/>
        <w:rPr>
          <w:rFonts w:ascii="Times New Roman" w:eastAsia="Times New Roman" w:hAnsi="Times New Roman" w:cs="Times New Roman"/>
          <w:b/>
          <w:i/>
          <w:color w:val="000000"/>
          <w:sz w:val="28"/>
          <w:szCs w:val="28"/>
          <w:lang w:eastAsia="ru-RU"/>
        </w:rPr>
      </w:pPr>
    </w:p>
    <w:p w:rsidR="008A664E" w:rsidRPr="00ED6862" w:rsidRDefault="008A664E" w:rsidP="004E10B5">
      <w:pPr>
        <w:tabs>
          <w:tab w:val="left" w:pos="993"/>
        </w:tabs>
        <w:spacing w:after="0" w:line="240" w:lineRule="auto"/>
        <w:ind w:firstLine="709"/>
        <w:rPr>
          <w:rFonts w:ascii="Times New Roman" w:eastAsia="Times New Roman" w:hAnsi="Times New Roman" w:cs="Times New Roman"/>
          <w:b/>
          <w:i/>
          <w:color w:val="000000"/>
          <w:sz w:val="28"/>
          <w:szCs w:val="28"/>
          <w:lang w:eastAsia="ru-RU"/>
        </w:rPr>
      </w:pPr>
      <w:r w:rsidRPr="00ED6862">
        <w:rPr>
          <w:rFonts w:ascii="Times New Roman" w:eastAsia="Times New Roman" w:hAnsi="Times New Roman" w:cs="Times New Roman"/>
          <w:b/>
          <w:i/>
          <w:color w:val="000000"/>
          <w:sz w:val="28"/>
          <w:szCs w:val="28"/>
          <w:lang w:eastAsia="ru-RU"/>
        </w:rPr>
        <w:t xml:space="preserve">Задолженность Республики Тыва по бюджетным кредитам </w:t>
      </w:r>
    </w:p>
    <w:p w:rsidR="008A664E" w:rsidRPr="00ED6862" w:rsidRDefault="008A664E" w:rsidP="004E10B5">
      <w:pPr>
        <w:spacing w:after="0" w:line="240" w:lineRule="auto"/>
        <w:ind w:firstLine="709"/>
        <w:jc w:val="both"/>
        <w:rPr>
          <w:rFonts w:ascii="Times New Roman" w:hAnsi="Times New Roman" w:cs="Times New Roman"/>
          <w:bCs/>
          <w:sz w:val="28"/>
          <w:szCs w:val="28"/>
        </w:rPr>
      </w:pPr>
    </w:p>
    <w:p w:rsidR="008A664E" w:rsidRPr="00ED6862" w:rsidRDefault="008A664E" w:rsidP="004E10B5">
      <w:pPr>
        <w:spacing w:after="0" w:line="240" w:lineRule="auto"/>
        <w:ind w:firstLine="709"/>
        <w:contextualSpacing/>
        <w:jc w:val="both"/>
        <w:rPr>
          <w:rFonts w:ascii="Times New Roman" w:hAnsi="Times New Roman" w:cs="Times New Roman"/>
          <w:sz w:val="28"/>
          <w:szCs w:val="28"/>
        </w:rPr>
      </w:pPr>
      <w:r w:rsidRPr="00ED6862">
        <w:rPr>
          <w:rFonts w:ascii="Times New Roman" w:hAnsi="Times New Roman" w:cs="Times New Roman"/>
          <w:sz w:val="28"/>
          <w:szCs w:val="28"/>
        </w:rPr>
        <w:t>За 2023 год государственный долг Республики Тыва составил 5 302,7 млн. рублей или 55% от объема налоговых и неналоговых доходов, доля рыночных заимствований составила 19%, что не превышает установленные бюджетным законодательством и соглашениями, заключенными с Минфином России, целевые показатели в рамках возможных превышений, установленных законодательством.</w:t>
      </w:r>
    </w:p>
    <w:p w:rsidR="008A664E" w:rsidRPr="00ED6862" w:rsidRDefault="008A664E"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По утвержденным параметрам бюджета республики 2024 года верхний предел госдолга на 01.01.202</w:t>
      </w:r>
      <w:r w:rsidR="00353502" w:rsidRPr="00ED6862">
        <w:rPr>
          <w:rFonts w:ascii="Times New Roman" w:hAnsi="Times New Roman" w:cs="Times New Roman"/>
          <w:sz w:val="28"/>
          <w:szCs w:val="28"/>
        </w:rPr>
        <w:t>5</w:t>
      </w:r>
      <w:r w:rsidRPr="00ED6862">
        <w:rPr>
          <w:rFonts w:ascii="Times New Roman" w:hAnsi="Times New Roman" w:cs="Times New Roman"/>
          <w:sz w:val="28"/>
          <w:szCs w:val="28"/>
        </w:rPr>
        <w:t xml:space="preserve"> г. составляет </w:t>
      </w:r>
      <w:r w:rsidR="00353502" w:rsidRPr="00ED6862">
        <w:rPr>
          <w:rFonts w:ascii="Times New Roman" w:hAnsi="Times New Roman" w:cs="Times New Roman"/>
          <w:b/>
          <w:sz w:val="28"/>
          <w:szCs w:val="28"/>
        </w:rPr>
        <w:t xml:space="preserve">6 331 </w:t>
      </w:r>
      <w:r w:rsidRPr="00ED6862">
        <w:rPr>
          <w:rFonts w:ascii="Times New Roman" w:hAnsi="Times New Roman" w:cs="Times New Roman"/>
          <w:b/>
          <w:sz w:val="28"/>
          <w:szCs w:val="28"/>
        </w:rPr>
        <w:t>млн. рублей</w:t>
      </w:r>
      <w:r w:rsidRPr="00ED6862">
        <w:rPr>
          <w:rFonts w:ascii="Times New Roman" w:hAnsi="Times New Roman" w:cs="Times New Roman"/>
          <w:sz w:val="28"/>
          <w:szCs w:val="28"/>
        </w:rPr>
        <w:t xml:space="preserve"> или 5</w:t>
      </w:r>
      <w:r w:rsidR="00353502" w:rsidRPr="00ED6862">
        <w:rPr>
          <w:rFonts w:ascii="Times New Roman" w:hAnsi="Times New Roman" w:cs="Times New Roman"/>
          <w:sz w:val="28"/>
          <w:szCs w:val="28"/>
        </w:rPr>
        <w:t>9</w:t>
      </w:r>
      <w:r w:rsidRPr="00ED6862">
        <w:rPr>
          <w:rFonts w:ascii="Times New Roman" w:hAnsi="Times New Roman" w:cs="Times New Roman"/>
          <w:sz w:val="28"/>
          <w:szCs w:val="28"/>
        </w:rPr>
        <w:t>% от утвержденного объема налоговых и неналоговых доходов, что не противоречит условиям, установленным в соглашениях, заключенных с Минфином России с учётом возможных превышений, установленных бюджетным законодательством.</w:t>
      </w:r>
    </w:p>
    <w:p w:rsidR="0009101D" w:rsidRPr="00ED6862" w:rsidRDefault="0009101D" w:rsidP="0009101D">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В республиканском бюджете на 2024 год расходы на обслуживание долга предусмотрены в сумме 75 млн. рублей, с ростом к 2023 году на 2,8%.</w:t>
      </w:r>
    </w:p>
    <w:p w:rsidR="0009101D" w:rsidRPr="00ED6862" w:rsidRDefault="0009101D" w:rsidP="0009101D">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Кассовый расход на текущую дату составляет 40,1 млн. рублей. Остаток лимита </w:t>
      </w:r>
      <w:r w:rsidR="00B04C27" w:rsidRPr="00ED6862">
        <w:rPr>
          <w:rFonts w:ascii="Times New Roman" w:eastAsia="Calibri" w:hAnsi="Times New Roman" w:cs="Times New Roman"/>
          <w:sz w:val="28"/>
          <w:szCs w:val="28"/>
        </w:rPr>
        <w:t>в сумме</w:t>
      </w:r>
      <w:r w:rsidRPr="00ED6862">
        <w:rPr>
          <w:rFonts w:ascii="Times New Roman" w:eastAsia="Calibri" w:hAnsi="Times New Roman" w:cs="Times New Roman"/>
          <w:sz w:val="28"/>
          <w:szCs w:val="28"/>
        </w:rPr>
        <w:t xml:space="preserve"> 34,9 млн. рублей </w:t>
      </w:r>
      <w:r w:rsidR="00B04C27" w:rsidRPr="00ED6862">
        <w:rPr>
          <w:rFonts w:ascii="Times New Roman" w:eastAsia="Calibri" w:hAnsi="Times New Roman" w:cs="Times New Roman"/>
          <w:sz w:val="28"/>
          <w:szCs w:val="28"/>
        </w:rPr>
        <w:t xml:space="preserve">будет направлен </w:t>
      </w:r>
      <w:r w:rsidRPr="00ED6862">
        <w:rPr>
          <w:rFonts w:ascii="Times New Roman" w:eastAsia="Calibri" w:hAnsi="Times New Roman" w:cs="Times New Roman"/>
          <w:sz w:val="28"/>
          <w:szCs w:val="28"/>
        </w:rPr>
        <w:t>на погашение бюджетных кредитов из федерального бюджета в конце ноября 2024 года, а также на погашение казначейского кредита на пополнение остатков в декабре 2024 года.</w:t>
      </w:r>
    </w:p>
    <w:p w:rsidR="0009101D" w:rsidRPr="00ED6862" w:rsidRDefault="0009101D" w:rsidP="0009101D">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В октябре 2024 года повышена ключевая ставка Центробанка России до 21% (в январе 2024 года была 16%). Расходы на обслуживание ежегодно повышаются. Объявленные в сентябре торги на привлечение коммерческих кредитов на покрытие планового дефицита бюджета не состоялись по причине отсутствия участников. Работа будет продолжена.</w:t>
      </w:r>
    </w:p>
    <w:p w:rsidR="0009101D" w:rsidRDefault="0009101D" w:rsidP="0009101D">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lastRenderedPageBreak/>
        <w:t>Таким образом, в 2024 году имеются риски при привлечении коммерческих кредитов, в том числе по нарушению обязательств перед Минфином России в части возможности привлечения коммерческих кредитов по ставке не выше, чем ключевая ставка + 1%.</w:t>
      </w:r>
    </w:p>
    <w:p w:rsidR="008A664E" w:rsidRPr="007C5B76" w:rsidRDefault="008A664E" w:rsidP="004E10B5">
      <w:pPr>
        <w:spacing w:after="0" w:line="240" w:lineRule="auto"/>
        <w:ind w:firstLine="709"/>
        <w:contextualSpacing/>
        <w:jc w:val="both"/>
        <w:rPr>
          <w:rFonts w:ascii="Times New Roman" w:hAnsi="Times New Roman" w:cs="Times New Roman"/>
          <w:sz w:val="28"/>
          <w:szCs w:val="28"/>
        </w:rPr>
      </w:pPr>
      <w:r w:rsidRPr="007C5B76">
        <w:rPr>
          <w:rFonts w:ascii="Times New Roman" w:hAnsi="Times New Roman" w:cs="Times New Roman"/>
          <w:sz w:val="28"/>
          <w:szCs w:val="28"/>
        </w:rPr>
        <w:t xml:space="preserve">В соответствии с Посланием Президента России поручено списать две трети задолженности регионов по бюджетным кредитам. Сэкономленные средства должны быть, что называется, «окрашены» и целевым образом направлены регионами на поддержку инвестиций и инфраструктурные проекты. </w:t>
      </w:r>
    </w:p>
    <w:p w:rsidR="008A664E" w:rsidRPr="007C5B76" w:rsidRDefault="008A664E" w:rsidP="004E10B5">
      <w:pPr>
        <w:spacing w:after="0" w:line="240" w:lineRule="auto"/>
        <w:ind w:firstLine="709"/>
        <w:contextualSpacing/>
        <w:jc w:val="both"/>
        <w:rPr>
          <w:rFonts w:ascii="Times New Roman" w:hAnsi="Times New Roman" w:cs="Times New Roman"/>
          <w:sz w:val="28"/>
          <w:szCs w:val="28"/>
        </w:rPr>
      </w:pPr>
      <w:r w:rsidRPr="007C5B76">
        <w:rPr>
          <w:rFonts w:ascii="Times New Roman" w:hAnsi="Times New Roman" w:cs="Times New Roman"/>
          <w:sz w:val="28"/>
          <w:szCs w:val="28"/>
        </w:rPr>
        <w:t>Исходя из порядка реструктуризации бюджетных кредитов, проведенной в 2017 году в соответствии с постановлением Правительства РФ от 13.12.2017 № 1531, проведен следующий расчет:</w:t>
      </w:r>
    </w:p>
    <w:p w:rsidR="008A664E" w:rsidRPr="007C5B76" w:rsidRDefault="008A664E" w:rsidP="004E10B5">
      <w:pPr>
        <w:spacing w:after="0" w:line="240" w:lineRule="auto"/>
        <w:ind w:firstLine="680"/>
        <w:contextualSpacing/>
        <w:jc w:val="both"/>
        <w:rPr>
          <w:rFonts w:ascii="Times New Roman" w:hAnsi="Times New Roman" w:cs="Times New Roman"/>
          <w:sz w:val="28"/>
          <w:szCs w:val="28"/>
        </w:rPr>
      </w:pPr>
      <w:r w:rsidRPr="007C5B76">
        <w:rPr>
          <w:rFonts w:ascii="Times New Roman" w:hAnsi="Times New Roman" w:cs="Times New Roman"/>
          <w:sz w:val="28"/>
          <w:szCs w:val="28"/>
        </w:rPr>
        <w:t>Общая сумма высвобождения в результате снижения объема погашения бюджетных кредитов составит 1 315 млн. рублей, которые республика с 2024 года может направить на инвест</w:t>
      </w:r>
      <w:r w:rsidR="004E10B5">
        <w:rPr>
          <w:rFonts w:ascii="Times New Roman" w:hAnsi="Times New Roman" w:cs="Times New Roman"/>
          <w:sz w:val="28"/>
          <w:szCs w:val="28"/>
        </w:rPr>
        <w:t>иционные</w:t>
      </w:r>
      <w:r w:rsidRPr="007C5B76">
        <w:rPr>
          <w:rFonts w:ascii="Times New Roman" w:hAnsi="Times New Roman" w:cs="Times New Roman"/>
          <w:sz w:val="28"/>
          <w:szCs w:val="28"/>
        </w:rPr>
        <w:t xml:space="preserve"> проекты. </w:t>
      </w:r>
    </w:p>
    <w:p w:rsidR="00353502" w:rsidRPr="00353502" w:rsidRDefault="00353502" w:rsidP="004E10B5">
      <w:pPr>
        <w:spacing w:after="0" w:line="240" w:lineRule="auto"/>
        <w:ind w:firstLine="680"/>
        <w:jc w:val="both"/>
        <w:rPr>
          <w:rFonts w:ascii="Times New Roman" w:hAnsi="Times New Roman" w:cs="Times New Roman"/>
          <w:sz w:val="28"/>
          <w:szCs w:val="28"/>
        </w:rPr>
      </w:pPr>
      <w:r w:rsidRPr="00353502">
        <w:rPr>
          <w:rFonts w:ascii="Times New Roman" w:hAnsi="Times New Roman" w:cs="Times New Roman"/>
          <w:sz w:val="28"/>
          <w:szCs w:val="28"/>
        </w:rPr>
        <w:t>Федеральным законом от 12.07.2024 № 175-ФЗ установлено, что регионы освобождены от погашения в 2024 году две трети задолженности регионов по бюджетным кредитам, исходя из действующих на 1 марта 2024 г. графиков погашения задолженности. Указанная задолженность не попадает под списание в 2024 году</w:t>
      </w:r>
      <w:r w:rsidR="00D905D9">
        <w:rPr>
          <w:rFonts w:ascii="Times New Roman" w:hAnsi="Times New Roman" w:cs="Times New Roman"/>
          <w:sz w:val="28"/>
          <w:szCs w:val="28"/>
        </w:rPr>
        <w:t>.</w:t>
      </w:r>
    </w:p>
    <w:p w:rsidR="00353502" w:rsidRPr="00353502" w:rsidRDefault="00353502" w:rsidP="004E10B5">
      <w:pPr>
        <w:spacing w:after="0" w:line="240" w:lineRule="auto"/>
        <w:ind w:firstLine="680"/>
        <w:jc w:val="both"/>
        <w:rPr>
          <w:rFonts w:ascii="Times New Roman" w:hAnsi="Times New Roman" w:cs="Times New Roman"/>
          <w:sz w:val="28"/>
          <w:szCs w:val="28"/>
        </w:rPr>
      </w:pPr>
      <w:r w:rsidRPr="00353502">
        <w:rPr>
          <w:rFonts w:ascii="Times New Roman" w:hAnsi="Times New Roman" w:cs="Times New Roman"/>
          <w:sz w:val="28"/>
          <w:szCs w:val="28"/>
        </w:rPr>
        <w:t>При этом в соответствии с законодательством будет произведена только реструктуризация, предусматривающая возможность списания 2/3 задолженности по бюджетным кредитам, в случае выполнения определенных условий республикой. Соответственно республиканский бюджет обязан будет осуществлять дополнительные расходы в целях выполнения условий реструктуризации и получения возможности списания.</w:t>
      </w:r>
    </w:p>
    <w:p w:rsidR="00353502" w:rsidRPr="00353502" w:rsidRDefault="00353502" w:rsidP="004E10B5">
      <w:pPr>
        <w:spacing w:after="0" w:line="240" w:lineRule="auto"/>
        <w:ind w:firstLine="680"/>
        <w:jc w:val="both"/>
        <w:rPr>
          <w:rFonts w:ascii="Times New Roman" w:hAnsi="Times New Roman" w:cs="Times New Roman"/>
          <w:sz w:val="28"/>
          <w:szCs w:val="28"/>
        </w:rPr>
      </w:pPr>
      <w:r w:rsidRPr="00353502">
        <w:rPr>
          <w:rFonts w:ascii="Times New Roman" w:hAnsi="Times New Roman" w:cs="Times New Roman"/>
          <w:sz w:val="28"/>
          <w:szCs w:val="28"/>
        </w:rPr>
        <w:t>В случае несоблюдения условий реструктуризации высвобожденная задолженность по бюджетным кредитам, за исключением фактического объема использованных средств, подлежит погашению ежегодно равными долями в период с 2030 по 2039 год включительно.</w:t>
      </w:r>
    </w:p>
    <w:p w:rsidR="008A664E" w:rsidRPr="007C5B76" w:rsidRDefault="008A664E" w:rsidP="004E10B5">
      <w:pPr>
        <w:spacing w:after="0" w:line="240" w:lineRule="auto"/>
        <w:ind w:firstLine="680"/>
        <w:jc w:val="both"/>
        <w:rPr>
          <w:rFonts w:ascii="Times New Roman" w:eastAsia="Times New Roman" w:hAnsi="Times New Roman" w:cs="Times New Roman"/>
          <w:sz w:val="28"/>
          <w:szCs w:val="28"/>
          <w:lang w:eastAsia="ru-RU"/>
        </w:rPr>
      </w:pPr>
    </w:p>
    <w:p w:rsidR="007C5B76" w:rsidRPr="007C5B76" w:rsidRDefault="00353502" w:rsidP="004E10B5">
      <w:pPr>
        <w:tabs>
          <w:tab w:val="left" w:pos="993"/>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рамках поддержки многодетных семей </w:t>
      </w:r>
      <w:r w:rsidR="007C5B76" w:rsidRPr="007C5B76">
        <w:rPr>
          <w:rFonts w:ascii="Times New Roman" w:eastAsia="Times New Roman" w:hAnsi="Times New Roman" w:cs="Times New Roman"/>
          <w:b/>
          <w:i/>
          <w:color w:val="000000"/>
          <w:sz w:val="28"/>
          <w:szCs w:val="28"/>
          <w:lang w:eastAsia="ru-RU"/>
        </w:rPr>
        <w:t>Ука</w:t>
      </w:r>
      <w:r>
        <w:rPr>
          <w:rFonts w:ascii="Times New Roman" w:eastAsia="Times New Roman" w:hAnsi="Times New Roman" w:cs="Times New Roman"/>
          <w:b/>
          <w:i/>
          <w:color w:val="000000"/>
          <w:sz w:val="28"/>
          <w:szCs w:val="28"/>
          <w:lang w:eastAsia="ru-RU"/>
        </w:rPr>
        <w:t>зом</w:t>
      </w:r>
      <w:r w:rsidR="007C5B76" w:rsidRPr="007C5B76">
        <w:rPr>
          <w:rFonts w:ascii="Times New Roman" w:eastAsia="Times New Roman" w:hAnsi="Times New Roman" w:cs="Times New Roman"/>
          <w:b/>
          <w:i/>
          <w:color w:val="000000"/>
          <w:sz w:val="28"/>
          <w:szCs w:val="28"/>
          <w:lang w:eastAsia="ru-RU"/>
        </w:rPr>
        <w:t xml:space="preserve"> Президента Российской Федерации </w:t>
      </w:r>
      <w:r w:rsidR="007C5B76" w:rsidRPr="007C5B76">
        <w:rPr>
          <w:rFonts w:ascii="Times New Roman" w:eastAsia="Times New Roman" w:hAnsi="Times New Roman" w:cs="Times New Roman"/>
          <w:sz w:val="28"/>
          <w:szCs w:val="28"/>
          <w:lang w:eastAsia="ru-RU"/>
        </w:rPr>
        <w:t>от 23.01.2024 №</w:t>
      </w:r>
      <w:r>
        <w:rPr>
          <w:rFonts w:ascii="Times New Roman" w:eastAsia="Times New Roman" w:hAnsi="Times New Roman" w:cs="Times New Roman"/>
          <w:sz w:val="28"/>
          <w:szCs w:val="28"/>
          <w:lang w:eastAsia="ru-RU"/>
        </w:rPr>
        <w:t xml:space="preserve"> </w:t>
      </w:r>
      <w:r w:rsidR="007C5B76" w:rsidRPr="007C5B76">
        <w:rPr>
          <w:rFonts w:ascii="Times New Roman" w:eastAsia="Times New Roman" w:hAnsi="Times New Roman" w:cs="Times New Roman"/>
          <w:sz w:val="28"/>
          <w:szCs w:val="28"/>
          <w:lang w:eastAsia="ru-RU"/>
        </w:rPr>
        <w:t xml:space="preserve">63 </w:t>
      </w:r>
      <w:r w:rsidR="00E41561">
        <w:rPr>
          <w:rFonts w:ascii="Times New Roman" w:eastAsia="Times New Roman" w:hAnsi="Times New Roman" w:cs="Times New Roman"/>
          <w:sz w:val="28"/>
          <w:szCs w:val="28"/>
          <w:lang w:eastAsia="ru-RU"/>
        </w:rPr>
        <w:t xml:space="preserve">регионам </w:t>
      </w:r>
      <w:r w:rsidR="007C5B76" w:rsidRPr="007C5B76">
        <w:rPr>
          <w:rFonts w:ascii="Times New Roman" w:eastAsia="Times New Roman" w:hAnsi="Times New Roman" w:cs="Times New Roman"/>
          <w:sz w:val="28"/>
          <w:szCs w:val="28"/>
          <w:lang w:eastAsia="ru-RU"/>
        </w:rPr>
        <w:t>поручено обеспечить реализацию 8 мероприятий и установить 7 мер социальной поддержки</w:t>
      </w:r>
      <w:r w:rsidR="00E41561">
        <w:rPr>
          <w:rFonts w:ascii="Times New Roman" w:eastAsia="Times New Roman" w:hAnsi="Times New Roman" w:cs="Times New Roman"/>
          <w:sz w:val="28"/>
          <w:szCs w:val="28"/>
          <w:lang w:eastAsia="ru-RU"/>
        </w:rPr>
        <w:t>:</w:t>
      </w:r>
      <w:r w:rsidR="007C5B76" w:rsidRPr="007C5B76">
        <w:rPr>
          <w:rFonts w:ascii="Times New Roman" w:eastAsia="Times New Roman" w:hAnsi="Times New Roman" w:cs="Times New Roman"/>
          <w:sz w:val="28"/>
          <w:szCs w:val="28"/>
          <w:lang w:eastAsia="ru-RU"/>
        </w:rPr>
        <w:t xml:space="preserve"> бесплатное обеспечение детей в возрасте до 6 лет лекарственными препаратами по рецептам на лекарственные препараты, предоставление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и метрополитеном, 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 и т.д.</w:t>
      </w:r>
    </w:p>
    <w:p w:rsidR="000F37A5" w:rsidRPr="00ED6862" w:rsidRDefault="000F37A5" w:rsidP="000F37A5">
      <w:pPr>
        <w:spacing w:after="0" w:line="240" w:lineRule="auto"/>
        <w:ind w:firstLine="680"/>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В республиканском бюджете 2024 года на меры социальной поддержки многодетных семей предусмотрено 491 528,7 тыс. рублей </w:t>
      </w:r>
      <w:r w:rsidRPr="00ED6862">
        <w:rPr>
          <w:rFonts w:ascii="Times New Roman" w:eastAsia="Times New Roman" w:hAnsi="Times New Roman" w:cs="Times New Roman"/>
          <w:i/>
          <w:sz w:val="24"/>
          <w:szCs w:val="28"/>
          <w:lang w:eastAsia="ru-RU"/>
        </w:rPr>
        <w:t xml:space="preserve">(ФБ – 455 324,7 тыс. рублей, РБ – 36 204,0 тыс. рублей), </w:t>
      </w:r>
      <w:r w:rsidRPr="00ED6862">
        <w:rPr>
          <w:rFonts w:ascii="Times New Roman" w:eastAsia="Times New Roman" w:hAnsi="Times New Roman" w:cs="Times New Roman"/>
          <w:sz w:val="28"/>
          <w:szCs w:val="28"/>
          <w:lang w:eastAsia="ru-RU"/>
        </w:rPr>
        <w:t>в том числе:</w:t>
      </w:r>
    </w:p>
    <w:p w:rsidR="000F37A5" w:rsidRPr="00ED6862" w:rsidRDefault="000F37A5" w:rsidP="000F37A5">
      <w:pPr>
        <w:spacing w:after="0" w:line="240" w:lineRule="auto"/>
        <w:ind w:firstLine="680"/>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lastRenderedPageBreak/>
        <w:t xml:space="preserve">- 459 923,9 тыс. рублей </w:t>
      </w:r>
      <w:r w:rsidRPr="00ED6862">
        <w:rPr>
          <w:rFonts w:ascii="Times New Roman" w:eastAsia="Times New Roman" w:hAnsi="Times New Roman" w:cs="Times New Roman"/>
          <w:i/>
          <w:sz w:val="24"/>
          <w:szCs w:val="28"/>
          <w:lang w:eastAsia="ru-RU"/>
        </w:rPr>
        <w:t>(ФБ – 455 324,7 тыс. рублей, РБ – 4 599,2 тыс. рублей)</w:t>
      </w:r>
      <w:r w:rsidRPr="00ED6862">
        <w:rPr>
          <w:rFonts w:ascii="Times New Roman" w:eastAsia="Times New Roman" w:hAnsi="Times New Roman" w:cs="Times New Roman"/>
          <w:sz w:val="28"/>
          <w:szCs w:val="28"/>
          <w:lang w:eastAsia="ru-RU"/>
        </w:rPr>
        <w:t xml:space="preserve">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0F37A5" w:rsidRPr="00ED6862" w:rsidRDefault="000F37A5" w:rsidP="000F37A5">
      <w:pPr>
        <w:spacing w:after="0" w:line="240" w:lineRule="auto"/>
        <w:ind w:firstLine="680"/>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- 12 242,8 млн. рублей на предоставление мер социальной помощи в рамках реализации проекта «Социальный уголь» в виде предоставления твердого топлива малоимущим многодетным семьям, имеющим 4 и более детей;</w:t>
      </w:r>
    </w:p>
    <w:p w:rsidR="000F37A5" w:rsidRPr="00ED6862" w:rsidRDefault="000F37A5" w:rsidP="000F37A5">
      <w:pPr>
        <w:spacing w:after="0" w:line="240" w:lineRule="auto"/>
        <w:ind w:firstLine="680"/>
        <w:contextualSpacing/>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- 12 730,0 тыс. рублей на выплату регионального материнского капитала в соответствии с Законом Республики Тыва от 28 октября 2011 г. № 937 ВХ-1 «О мерах социальной поддержки отдельных категорий семей в Республике Тыва»;</w:t>
      </w:r>
    </w:p>
    <w:p w:rsidR="000F37A5" w:rsidRPr="00ED6862" w:rsidRDefault="000F37A5" w:rsidP="000F37A5">
      <w:pPr>
        <w:spacing w:after="0" w:line="240" w:lineRule="auto"/>
        <w:ind w:firstLine="680"/>
        <w:contextualSpacing/>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- 6 932,0 тыс. рублей на обеспечение лекарствами детей из многодетных семей в возрасте от 0 до 6 лет (1</w:t>
      </w:r>
      <w:r w:rsidRPr="00ED6862">
        <w:rPr>
          <w:rFonts w:ascii="Times New Roman" w:eastAsia="Times New Roman" w:hAnsi="Times New Roman" w:cs="Times New Roman"/>
          <w:sz w:val="28"/>
          <w:szCs w:val="28"/>
          <w:lang w:val="en-US" w:eastAsia="ru-RU"/>
        </w:rPr>
        <w:t> </w:t>
      </w:r>
      <w:r w:rsidRPr="00ED6862">
        <w:rPr>
          <w:rFonts w:ascii="Times New Roman" w:eastAsia="Times New Roman" w:hAnsi="Times New Roman" w:cs="Times New Roman"/>
          <w:sz w:val="28"/>
          <w:szCs w:val="28"/>
          <w:lang w:eastAsia="ru-RU"/>
        </w:rPr>
        <w:t>360,0 тыс. рублей) и  предоставление субсидии на оплату жилого помещения и коммунальных услуг многодетным семьям (5 572,0 тыс. рублей).</w:t>
      </w:r>
    </w:p>
    <w:p w:rsidR="000F37A5" w:rsidRPr="00ED6862" w:rsidRDefault="000F37A5" w:rsidP="000F37A5">
      <w:pPr>
        <w:tabs>
          <w:tab w:val="left" w:pos="3675"/>
        </w:tabs>
        <w:spacing w:after="0" w:line="240" w:lineRule="auto"/>
        <w:ind w:firstLine="709"/>
        <w:jc w:val="both"/>
        <w:rPr>
          <w:rFonts w:ascii="Times New Roman" w:eastAsia="Calibri" w:hAnsi="Times New Roman" w:cs="Times New Roman"/>
          <w:bCs/>
          <w:sz w:val="28"/>
          <w:szCs w:val="28"/>
          <w:lang w:eastAsia="ru-RU"/>
        </w:rPr>
      </w:pPr>
      <w:r w:rsidRPr="00ED6862">
        <w:rPr>
          <w:rFonts w:ascii="Times New Roman" w:eastAsia="Calibri" w:hAnsi="Times New Roman" w:cs="Times New Roman"/>
          <w:bCs/>
          <w:sz w:val="28"/>
          <w:szCs w:val="28"/>
          <w:lang w:eastAsia="ru-RU"/>
        </w:rPr>
        <w:t>По сведениям предоставленных органами социальной защиты населения муниципальных образований республики численность многодетных семей, включенный в реестр многодетных семей, составляет 13 258 семей, в них законные представители – 18 867 чел., дети – 46 650 чел.</w:t>
      </w:r>
    </w:p>
    <w:p w:rsidR="00E41561" w:rsidRPr="00ED6862" w:rsidRDefault="00E41561" w:rsidP="004E10B5">
      <w:pPr>
        <w:spacing w:after="0" w:line="240" w:lineRule="auto"/>
        <w:ind w:firstLine="680"/>
        <w:jc w:val="both"/>
        <w:rPr>
          <w:rFonts w:ascii="Times New Roman" w:eastAsia="Times New Roman" w:hAnsi="Times New Roman" w:cs="Times New Roman"/>
          <w:color w:val="000000"/>
          <w:sz w:val="28"/>
          <w:szCs w:val="28"/>
          <w:lang w:eastAsia="ru-RU"/>
        </w:rPr>
      </w:pPr>
      <w:r w:rsidRPr="00ED6862">
        <w:rPr>
          <w:rFonts w:ascii="Times New Roman" w:eastAsia="Times New Roman" w:hAnsi="Times New Roman" w:cs="Times New Roman"/>
          <w:sz w:val="28"/>
          <w:szCs w:val="28"/>
          <w:lang w:eastAsia="ru-RU"/>
        </w:rPr>
        <w:t xml:space="preserve">В Республике Тыва </w:t>
      </w:r>
      <w:r w:rsidRPr="00ED6862">
        <w:rPr>
          <w:rFonts w:ascii="Times New Roman" w:hAnsi="Times New Roman" w:cs="Times New Roman"/>
          <w:sz w:val="28"/>
          <w:szCs w:val="28"/>
        </w:rPr>
        <w:t>немаловажную роль играет высокая рождаемость,</w:t>
      </w:r>
      <w:r w:rsidRPr="00ED6862">
        <w:rPr>
          <w:rFonts w:ascii="Times New Roman" w:eastAsia="Times New Roman" w:hAnsi="Times New Roman" w:cs="Times New Roman"/>
          <w:sz w:val="28"/>
          <w:szCs w:val="28"/>
          <w:lang w:eastAsia="ru-RU"/>
        </w:rPr>
        <w:t xml:space="preserve"> которая занимает лидирующее место в рейтинге по рождаемости, в связи с этим количество многодетных семей увеличиваются с каждым годом. </w:t>
      </w:r>
      <w:r w:rsidRPr="00ED6862">
        <w:rPr>
          <w:rFonts w:ascii="Times New Roman" w:eastAsia="Times New Roman" w:hAnsi="Times New Roman" w:cs="Times New Roman"/>
          <w:color w:val="000000"/>
          <w:sz w:val="28"/>
          <w:szCs w:val="28"/>
          <w:lang w:eastAsia="ru-RU"/>
        </w:rPr>
        <w:t xml:space="preserve">Следовательно, увеличивается дополнительная потребность </w:t>
      </w:r>
      <w:r w:rsidR="00960698" w:rsidRPr="00ED6862">
        <w:rPr>
          <w:rFonts w:ascii="Times New Roman" w:eastAsia="Times New Roman" w:hAnsi="Times New Roman" w:cs="Times New Roman"/>
          <w:color w:val="000000"/>
          <w:sz w:val="28"/>
          <w:szCs w:val="28"/>
          <w:lang w:eastAsia="ru-RU"/>
        </w:rPr>
        <w:t xml:space="preserve">бюджетных средств </w:t>
      </w:r>
      <w:r w:rsidRPr="00ED6862">
        <w:rPr>
          <w:rFonts w:ascii="Times New Roman" w:eastAsia="Times New Roman" w:hAnsi="Times New Roman" w:cs="Times New Roman"/>
          <w:color w:val="000000"/>
          <w:sz w:val="28"/>
          <w:szCs w:val="28"/>
          <w:lang w:eastAsia="ru-RU"/>
        </w:rPr>
        <w:t>на обеспечение реализации Указа Президента Российской Федерации.</w:t>
      </w:r>
    </w:p>
    <w:p w:rsidR="000F37A5" w:rsidRPr="00ED6862" w:rsidRDefault="000F37A5" w:rsidP="000F37A5">
      <w:pPr>
        <w:spacing w:after="0" w:line="240" w:lineRule="auto"/>
        <w:ind w:firstLine="680"/>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В связи с дефицитом средств бюджета по итогам проведенной в течение года работе планируется поэтапное ведение новых мер поддержки многодетных семей:</w:t>
      </w:r>
    </w:p>
    <w:p w:rsidR="000F37A5" w:rsidRPr="00ED6862" w:rsidRDefault="000F37A5" w:rsidP="000F37A5">
      <w:pPr>
        <w:spacing w:after="0" w:line="240" w:lineRule="auto"/>
        <w:ind w:firstLine="680"/>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в 2024 году – 6 932,0 тыс. рублей на обеспечение лекарствами детей из многодетных семей в возрасте от 0 до 6 лет (1 360,0 тыс. рублей) и  предоставление субсидии на оплату жилого помещения и коммунальных услуг многодетным семьям (5 572,0 тыс. рублей);</w:t>
      </w:r>
    </w:p>
    <w:p w:rsidR="000F37A5" w:rsidRPr="00ED6862" w:rsidRDefault="000F37A5" w:rsidP="000F37A5">
      <w:pPr>
        <w:spacing w:after="0" w:line="240" w:lineRule="auto"/>
        <w:ind w:firstLine="680"/>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2025 г. – 96 903,0 тыс. рублей (дополнительная мера поддержки на 69 178,0 тыс. рублей на компенсационную выплату в виде частичной компенсации расходов на питание обучающимся 5-8 класса в общеобразовательной организации);</w:t>
      </w:r>
    </w:p>
    <w:p w:rsidR="000F37A5" w:rsidRPr="00543276" w:rsidRDefault="000F37A5" w:rsidP="000F37A5">
      <w:pPr>
        <w:spacing w:after="0" w:line="240" w:lineRule="auto"/>
        <w:ind w:firstLine="680"/>
        <w:jc w:val="both"/>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2026 г. – 223 079,0 тыс. рублей (дополнительные меры поддержки на 126 175,0 тыс. рублей, из них 33 616,0 тыс. рублей на компенсационную выплату в виде частичной компенсации расходов на питание обучающимся 9-11 класса в общеобразовательных и (или) профессиональных образовательных организациях, 71 430,0 тыс. рублей на компенсационную выплату в виде компенсации расходов на приобретение одежды для посещения учебных занятий, а также спортивной формы для обучающихся в общеобразовательной организации, 21 129,0 тыс. рублей на предоставление обучающимся общеобразовательных организациях </w:t>
      </w:r>
      <w:r w:rsidRPr="00ED6862">
        <w:rPr>
          <w:rFonts w:ascii="Times New Roman" w:eastAsia="Times New Roman" w:hAnsi="Times New Roman" w:cs="Times New Roman"/>
          <w:sz w:val="28"/>
          <w:szCs w:val="28"/>
          <w:lang w:eastAsia="ru-RU"/>
        </w:rPr>
        <w:lastRenderedPageBreak/>
        <w:t>компенсации части проезда автомобильным транспортом (за исключением такси) из многодетных семей.</w:t>
      </w:r>
    </w:p>
    <w:p w:rsidR="00E41561" w:rsidRDefault="00E41561" w:rsidP="004E10B5">
      <w:pPr>
        <w:spacing w:after="0" w:line="240" w:lineRule="auto"/>
        <w:ind w:firstLine="680"/>
        <w:jc w:val="both"/>
        <w:rPr>
          <w:rFonts w:ascii="Times New Roman" w:eastAsia="Times New Roman" w:hAnsi="Times New Roman" w:cs="Times New Roman"/>
          <w:sz w:val="28"/>
          <w:szCs w:val="28"/>
          <w:lang w:eastAsia="ru-RU"/>
        </w:rPr>
      </w:pPr>
    </w:p>
    <w:p w:rsidR="00386B2A" w:rsidRDefault="00A4275F" w:rsidP="004E10B5">
      <w:pPr>
        <w:spacing w:after="0" w:line="240" w:lineRule="auto"/>
        <w:ind w:firstLine="680"/>
        <w:jc w:val="both"/>
        <w:rPr>
          <w:rFonts w:ascii="Times New Roman" w:eastAsia="Times New Roman" w:hAnsi="Times New Roman" w:cs="Times New Roman"/>
          <w:color w:val="000000"/>
          <w:sz w:val="28"/>
          <w:szCs w:val="28"/>
          <w:lang w:eastAsia="ru-RU"/>
        </w:rPr>
      </w:pPr>
      <w:r w:rsidRPr="00A4275F">
        <w:rPr>
          <w:rFonts w:ascii="Times New Roman" w:eastAsia="Times New Roman" w:hAnsi="Times New Roman" w:cs="Times New Roman"/>
          <w:color w:val="000000"/>
          <w:sz w:val="28"/>
          <w:szCs w:val="28"/>
          <w:lang w:eastAsia="ru-RU"/>
        </w:rPr>
        <w:t>В целях обеспечения социальной поддержки участников специальной военной операции постановлением Правительства Республики Тыва от 04.03.2024 №</w:t>
      </w:r>
      <w:r>
        <w:rPr>
          <w:rFonts w:ascii="Times New Roman" w:eastAsia="Times New Roman" w:hAnsi="Times New Roman" w:cs="Times New Roman"/>
          <w:color w:val="000000"/>
          <w:sz w:val="28"/>
          <w:szCs w:val="28"/>
          <w:lang w:eastAsia="ru-RU"/>
        </w:rPr>
        <w:t xml:space="preserve"> </w:t>
      </w:r>
      <w:r w:rsidRPr="00A4275F">
        <w:rPr>
          <w:rFonts w:ascii="Times New Roman" w:eastAsia="Times New Roman" w:hAnsi="Times New Roman" w:cs="Times New Roman"/>
          <w:color w:val="000000"/>
          <w:sz w:val="28"/>
          <w:szCs w:val="28"/>
          <w:lang w:eastAsia="ru-RU"/>
        </w:rPr>
        <w:t xml:space="preserve">78 «О мерах социальной поддержки участникам специальной военной операции и о внесении изменений в пункт 4 Порядка использования бюджетных ассигнований резервного фонда Правительства Республики Тыва» утверждены </w:t>
      </w:r>
      <w:r w:rsidR="00386B2A">
        <w:rPr>
          <w:rFonts w:ascii="Times New Roman" w:eastAsia="Times New Roman" w:hAnsi="Times New Roman" w:cs="Times New Roman"/>
          <w:color w:val="000000"/>
          <w:sz w:val="28"/>
          <w:szCs w:val="28"/>
          <w:lang w:eastAsia="ru-RU"/>
        </w:rPr>
        <w:t>6 направлений мер</w:t>
      </w:r>
      <w:r w:rsidRPr="00A4275F">
        <w:rPr>
          <w:rFonts w:ascii="Times New Roman" w:eastAsia="Times New Roman" w:hAnsi="Times New Roman" w:cs="Times New Roman"/>
          <w:color w:val="000000"/>
          <w:sz w:val="28"/>
          <w:szCs w:val="28"/>
          <w:lang w:eastAsia="ru-RU"/>
        </w:rPr>
        <w:t xml:space="preserve"> социальной поддержки</w:t>
      </w:r>
      <w:r w:rsidR="00386B2A">
        <w:rPr>
          <w:rFonts w:ascii="Times New Roman" w:eastAsia="Times New Roman" w:hAnsi="Times New Roman" w:cs="Times New Roman"/>
          <w:color w:val="000000"/>
          <w:sz w:val="28"/>
          <w:szCs w:val="28"/>
          <w:lang w:eastAsia="ru-RU"/>
        </w:rPr>
        <w:t xml:space="preserve">. </w:t>
      </w:r>
    </w:p>
    <w:p w:rsidR="00386B2A" w:rsidRPr="00386B2A" w:rsidRDefault="00386B2A" w:rsidP="004E10B5">
      <w:pPr>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проводятся мероприятия п</w:t>
      </w:r>
      <w:r w:rsidRPr="00386B2A">
        <w:rPr>
          <w:rFonts w:ascii="Times New Roman" w:eastAsia="Times New Roman" w:hAnsi="Times New Roman" w:cs="Times New Roman"/>
          <w:color w:val="000000"/>
          <w:sz w:val="28"/>
          <w:szCs w:val="28"/>
          <w:lang w:eastAsia="ru-RU"/>
        </w:rPr>
        <w:t>о реализации специального инфраструктурного проекта по восстановлению объектов, обеспечивающих жизнедеятельность населения, на территории Луганской Народной Республики</w:t>
      </w:r>
      <w:r>
        <w:rPr>
          <w:rFonts w:ascii="Times New Roman" w:eastAsia="Times New Roman" w:hAnsi="Times New Roman" w:cs="Times New Roman"/>
          <w:color w:val="000000"/>
          <w:sz w:val="28"/>
          <w:szCs w:val="28"/>
          <w:lang w:eastAsia="ru-RU"/>
        </w:rPr>
        <w:t>.</w:t>
      </w:r>
    </w:p>
    <w:p w:rsidR="00A4275F" w:rsidRPr="00617016" w:rsidRDefault="00A4275F" w:rsidP="004E10B5">
      <w:pPr>
        <w:tabs>
          <w:tab w:val="left" w:pos="3667"/>
        </w:tabs>
        <w:spacing w:after="0" w:line="240" w:lineRule="auto"/>
        <w:ind w:firstLine="680"/>
        <w:jc w:val="both"/>
        <w:rPr>
          <w:rFonts w:ascii="Times New Roman" w:eastAsia="Times New Roman" w:hAnsi="Times New Roman" w:cs="Times New Roman"/>
          <w:color w:val="000000"/>
          <w:sz w:val="28"/>
          <w:szCs w:val="28"/>
          <w:lang w:eastAsia="ru-RU"/>
        </w:rPr>
      </w:pPr>
      <w:r w:rsidRPr="00617016">
        <w:rPr>
          <w:rFonts w:ascii="Times New Roman" w:eastAsia="Times New Roman" w:hAnsi="Times New Roman" w:cs="Times New Roman"/>
          <w:color w:val="000000"/>
          <w:sz w:val="28"/>
          <w:szCs w:val="28"/>
          <w:lang w:eastAsia="ru-RU"/>
        </w:rPr>
        <w:t>Всего за 3 года расходы республиканского бюджета</w:t>
      </w:r>
      <w:r w:rsidR="00386B2A" w:rsidRPr="00617016">
        <w:rPr>
          <w:rFonts w:ascii="Times New Roman" w:eastAsia="Times New Roman" w:hAnsi="Times New Roman" w:cs="Times New Roman"/>
          <w:color w:val="000000"/>
          <w:sz w:val="28"/>
          <w:szCs w:val="28"/>
          <w:lang w:eastAsia="ru-RU"/>
        </w:rPr>
        <w:t xml:space="preserve">, связанные с </w:t>
      </w:r>
      <w:r w:rsidRPr="00617016">
        <w:rPr>
          <w:rFonts w:ascii="Times New Roman" w:eastAsia="Times New Roman" w:hAnsi="Times New Roman" w:cs="Times New Roman"/>
          <w:color w:val="000000"/>
          <w:sz w:val="28"/>
          <w:szCs w:val="28"/>
          <w:lang w:eastAsia="ru-RU"/>
        </w:rPr>
        <w:t>СВО</w:t>
      </w:r>
      <w:r w:rsidR="00386B2A" w:rsidRPr="00617016">
        <w:rPr>
          <w:rFonts w:ascii="Times New Roman" w:eastAsia="Times New Roman" w:hAnsi="Times New Roman" w:cs="Times New Roman"/>
          <w:color w:val="000000"/>
          <w:sz w:val="28"/>
          <w:szCs w:val="28"/>
          <w:lang w:eastAsia="ru-RU"/>
        </w:rPr>
        <w:t>,</w:t>
      </w:r>
      <w:r w:rsidRPr="00617016">
        <w:rPr>
          <w:rFonts w:ascii="Times New Roman" w:eastAsia="Times New Roman" w:hAnsi="Times New Roman" w:cs="Times New Roman"/>
          <w:color w:val="000000"/>
          <w:sz w:val="28"/>
          <w:szCs w:val="28"/>
          <w:lang w:eastAsia="ru-RU"/>
        </w:rPr>
        <w:t xml:space="preserve"> составили </w:t>
      </w:r>
      <w:r w:rsidR="0047331E" w:rsidRPr="00617016">
        <w:rPr>
          <w:rFonts w:ascii="Times New Roman" w:eastAsia="Times New Roman" w:hAnsi="Times New Roman" w:cs="Times New Roman"/>
          <w:b/>
          <w:color w:val="000000"/>
          <w:sz w:val="28"/>
          <w:szCs w:val="28"/>
          <w:lang w:eastAsia="ru-RU"/>
        </w:rPr>
        <w:t>1 069 840</w:t>
      </w:r>
      <w:r w:rsidRPr="00617016">
        <w:rPr>
          <w:rFonts w:ascii="Times New Roman" w:eastAsia="Times New Roman" w:hAnsi="Times New Roman" w:cs="Times New Roman"/>
          <w:b/>
          <w:color w:val="000000"/>
          <w:sz w:val="28"/>
          <w:szCs w:val="28"/>
          <w:lang w:eastAsia="ru-RU"/>
        </w:rPr>
        <w:t xml:space="preserve"> тыс. рублей</w:t>
      </w:r>
      <w:r w:rsidRPr="00617016">
        <w:rPr>
          <w:rFonts w:ascii="Times New Roman" w:eastAsia="Times New Roman" w:hAnsi="Times New Roman" w:cs="Times New Roman"/>
          <w:color w:val="000000"/>
          <w:sz w:val="28"/>
          <w:szCs w:val="28"/>
          <w:lang w:eastAsia="ru-RU"/>
        </w:rPr>
        <w:t xml:space="preserve"> (профинансировано </w:t>
      </w:r>
      <w:r w:rsidR="0047331E" w:rsidRPr="00617016">
        <w:rPr>
          <w:rFonts w:ascii="Times New Roman" w:eastAsia="Times New Roman" w:hAnsi="Times New Roman" w:cs="Times New Roman"/>
          <w:color w:val="000000"/>
          <w:sz w:val="28"/>
          <w:szCs w:val="28"/>
          <w:lang w:eastAsia="ru-RU"/>
        </w:rPr>
        <w:t>900 530</w:t>
      </w:r>
      <w:r w:rsidRPr="00617016">
        <w:rPr>
          <w:rFonts w:ascii="Times New Roman" w:eastAsia="Times New Roman" w:hAnsi="Times New Roman" w:cs="Times New Roman"/>
          <w:color w:val="000000"/>
          <w:sz w:val="28"/>
          <w:szCs w:val="28"/>
          <w:lang w:eastAsia="ru-RU"/>
        </w:rPr>
        <w:t xml:space="preserve"> тыс. рублей), из них по годам:</w:t>
      </w:r>
    </w:p>
    <w:p w:rsidR="00A4275F" w:rsidRPr="00617016" w:rsidRDefault="00A4275F" w:rsidP="004E10B5">
      <w:pPr>
        <w:tabs>
          <w:tab w:val="left" w:pos="3667"/>
        </w:tabs>
        <w:spacing w:after="0" w:line="240" w:lineRule="auto"/>
        <w:ind w:firstLine="680"/>
        <w:jc w:val="both"/>
        <w:rPr>
          <w:rFonts w:ascii="Times New Roman" w:eastAsia="Times New Roman" w:hAnsi="Times New Roman" w:cs="Times New Roman"/>
          <w:color w:val="000000"/>
          <w:sz w:val="28"/>
          <w:szCs w:val="28"/>
          <w:lang w:eastAsia="ru-RU"/>
        </w:rPr>
      </w:pPr>
      <w:r w:rsidRPr="00617016">
        <w:rPr>
          <w:rFonts w:ascii="Times New Roman" w:eastAsia="Times New Roman" w:hAnsi="Times New Roman" w:cs="Times New Roman"/>
          <w:color w:val="000000"/>
          <w:sz w:val="28"/>
          <w:szCs w:val="28"/>
          <w:lang w:eastAsia="ru-RU"/>
        </w:rPr>
        <w:t>2022 г. – 198 250 тыс. рублей;</w:t>
      </w:r>
    </w:p>
    <w:p w:rsidR="00A4275F" w:rsidRPr="00617016" w:rsidRDefault="00A4275F" w:rsidP="004E10B5">
      <w:pPr>
        <w:tabs>
          <w:tab w:val="left" w:pos="3667"/>
        </w:tabs>
        <w:spacing w:after="0" w:line="240" w:lineRule="auto"/>
        <w:ind w:firstLine="680"/>
        <w:jc w:val="both"/>
        <w:rPr>
          <w:rFonts w:ascii="Times New Roman" w:eastAsia="Times New Roman" w:hAnsi="Times New Roman" w:cs="Times New Roman"/>
          <w:color w:val="000000"/>
          <w:sz w:val="28"/>
          <w:szCs w:val="28"/>
          <w:lang w:eastAsia="ru-RU"/>
        </w:rPr>
      </w:pPr>
      <w:r w:rsidRPr="00617016">
        <w:rPr>
          <w:rFonts w:ascii="Times New Roman" w:eastAsia="Times New Roman" w:hAnsi="Times New Roman" w:cs="Times New Roman"/>
          <w:color w:val="000000"/>
          <w:sz w:val="28"/>
          <w:szCs w:val="28"/>
          <w:lang w:eastAsia="ru-RU"/>
        </w:rPr>
        <w:t>2023 г. – 196 894 тыс. рублей;</w:t>
      </w:r>
    </w:p>
    <w:p w:rsidR="00A4275F" w:rsidRPr="00A4275F" w:rsidRDefault="00A4275F" w:rsidP="004E10B5">
      <w:pPr>
        <w:tabs>
          <w:tab w:val="left" w:pos="3667"/>
        </w:tabs>
        <w:spacing w:after="0" w:line="240" w:lineRule="auto"/>
        <w:ind w:firstLine="680"/>
        <w:jc w:val="both"/>
        <w:rPr>
          <w:rFonts w:ascii="Times New Roman" w:eastAsia="Times New Roman" w:hAnsi="Times New Roman" w:cs="Times New Roman"/>
          <w:color w:val="000000"/>
          <w:sz w:val="28"/>
          <w:szCs w:val="28"/>
          <w:lang w:eastAsia="ru-RU"/>
        </w:rPr>
      </w:pPr>
      <w:r w:rsidRPr="00617016">
        <w:rPr>
          <w:rFonts w:ascii="Times New Roman" w:eastAsia="Times New Roman" w:hAnsi="Times New Roman" w:cs="Times New Roman"/>
          <w:color w:val="000000"/>
          <w:sz w:val="28"/>
          <w:szCs w:val="28"/>
          <w:lang w:eastAsia="ru-RU"/>
        </w:rPr>
        <w:t xml:space="preserve">2024 г. – план </w:t>
      </w:r>
      <w:r w:rsidR="0047331E" w:rsidRPr="00617016">
        <w:rPr>
          <w:rFonts w:ascii="Times New Roman" w:eastAsia="Times New Roman" w:hAnsi="Times New Roman" w:cs="Times New Roman"/>
          <w:color w:val="000000"/>
          <w:sz w:val="28"/>
          <w:szCs w:val="28"/>
          <w:lang w:eastAsia="ru-RU"/>
        </w:rPr>
        <w:t>674 695</w:t>
      </w:r>
      <w:r w:rsidRPr="00617016">
        <w:rPr>
          <w:rFonts w:ascii="Times New Roman" w:eastAsia="Times New Roman" w:hAnsi="Times New Roman" w:cs="Times New Roman"/>
          <w:color w:val="000000"/>
          <w:sz w:val="28"/>
          <w:szCs w:val="28"/>
          <w:lang w:eastAsia="ru-RU"/>
        </w:rPr>
        <w:t xml:space="preserve"> тыс. рублей, профинансировано </w:t>
      </w:r>
      <w:r w:rsidR="0047331E" w:rsidRPr="00617016">
        <w:rPr>
          <w:rFonts w:ascii="Times New Roman" w:eastAsia="Times New Roman" w:hAnsi="Times New Roman" w:cs="Times New Roman"/>
          <w:color w:val="000000"/>
          <w:sz w:val="28"/>
          <w:szCs w:val="28"/>
          <w:lang w:eastAsia="ru-RU"/>
        </w:rPr>
        <w:t>505 386</w:t>
      </w:r>
      <w:r w:rsidRPr="00617016">
        <w:rPr>
          <w:rFonts w:ascii="Times New Roman" w:eastAsia="Times New Roman" w:hAnsi="Times New Roman" w:cs="Times New Roman"/>
          <w:color w:val="000000"/>
          <w:sz w:val="28"/>
          <w:szCs w:val="28"/>
          <w:lang w:eastAsia="ru-RU"/>
        </w:rPr>
        <w:t xml:space="preserve"> тыс. рублей (</w:t>
      </w:r>
      <w:r w:rsidR="00617016" w:rsidRPr="00617016">
        <w:rPr>
          <w:rFonts w:ascii="Times New Roman" w:eastAsia="Times New Roman" w:hAnsi="Times New Roman" w:cs="Times New Roman"/>
          <w:color w:val="000000"/>
          <w:sz w:val="28"/>
          <w:szCs w:val="28"/>
          <w:lang w:eastAsia="ru-RU"/>
        </w:rPr>
        <w:t>75</w:t>
      </w:r>
      <w:r w:rsidRPr="00617016">
        <w:rPr>
          <w:rFonts w:ascii="Times New Roman" w:eastAsia="Times New Roman" w:hAnsi="Times New Roman" w:cs="Times New Roman"/>
          <w:color w:val="000000"/>
          <w:sz w:val="28"/>
          <w:szCs w:val="28"/>
          <w:lang w:eastAsia="ru-RU"/>
        </w:rPr>
        <w:t xml:space="preserve">%), остаток </w:t>
      </w:r>
      <w:r w:rsidR="00617016" w:rsidRPr="00617016">
        <w:rPr>
          <w:rFonts w:ascii="Times New Roman" w:eastAsia="Times New Roman" w:hAnsi="Times New Roman" w:cs="Times New Roman"/>
          <w:color w:val="000000"/>
          <w:sz w:val="28"/>
          <w:szCs w:val="28"/>
          <w:lang w:eastAsia="ru-RU"/>
        </w:rPr>
        <w:t>169 309</w:t>
      </w:r>
      <w:r w:rsidRPr="00617016">
        <w:rPr>
          <w:rFonts w:ascii="Times New Roman" w:eastAsia="Times New Roman" w:hAnsi="Times New Roman" w:cs="Times New Roman"/>
          <w:color w:val="000000"/>
          <w:sz w:val="28"/>
          <w:szCs w:val="28"/>
          <w:lang w:eastAsia="ru-RU"/>
        </w:rPr>
        <w:t xml:space="preserve"> тыс. рублей.</w:t>
      </w:r>
    </w:p>
    <w:p w:rsidR="007C5B76" w:rsidRDefault="00EC33E5" w:rsidP="004E10B5">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проекте бюджета на 2025 год предусмотрены расходы в общей сумме 397 791 тыс. рублей.</w:t>
      </w:r>
    </w:p>
    <w:p w:rsidR="00EC33E5" w:rsidRPr="007C5B76" w:rsidRDefault="00EC33E5" w:rsidP="004E10B5">
      <w:pPr>
        <w:spacing w:after="0" w:line="240" w:lineRule="auto"/>
        <w:ind w:firstLine="680"/>
        <w:jc w:val="both"/>
        <w:rPr>
          <w:rFonts w:ascii="Times New Roman" w:eastAsia="Times New Roman" w:hAnsi="Times New Roman" w:cs="Times New Roman"/>
          <w:sz w:val="28"/>
          <w:szCs w:val="28"/>
          <w:lang w:eastAsia="ru-RU"/>
        </w:rPr>
      </w:pPr>
    </w:p>
    <w:p w:rsidR="00FD5ABA" w:rsidRDefault="00FD5ABA" w:rsidP="004E10B5">
      <w:pPr>
        <w:tabs>
          <w:tab w:val="left" w:pos="709"/>
          <w:tab w:val="left" w:pos="851"/>
          <w:tab w:val="left" w:pos="993"/>
        </w:tabs>
        <w:spacing w:after="0" w:line="240" w:lineRule="auto"/>
        <w:ind w:firstLine="680"/>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В структуре расходов бюджета республики наибольшую дол</w:t>
      </w:r>
      <w:r w:rsidR="00A4275F">
        <w:rPr>
          <w:rFonts w:ascii="Times New Roman" w:eastAsia="Calibri" w:hAnsi="Times New Roman" w:cs="Times New Roman"/>
          <w:b/>
          <w:sz w:val="28"/>
          <w:szCs w:val="28"/>
        </w:rPr>
        <w:t>ю</w:t>
      </w:r>
      <w:r>
        <w:rPr>
          <w:rFonts w:ascii="Times New Roman" w:eastAsia="Calibri" w:hAnsi="Times New Roman" w:cs="Times New Roman"/>
          <w:b/>
          <w:sz w:val="28"/>
          <w:szCs w:val="28"/>
        </w:rPr>
        <w:t xml:space="preserve"> расходов занимает</w:t>
      </w:r>
      <w:r w:rsidRPr="00A764E7">
        <w:rPr>
          <w:rFonts w:ascii="Times New Roman" w:eastAsia="Calibri" w:hAnsi="Times New Roman" w:cs="Times New Roman"/>
          <w:sz w:val="28"/>
          <w:szCs w:val="28"/>
        </w:rPr>
        <w:t xml:space="preserve"> </w:t>
      </w:r>
      <w:r w:rsidRPr="004768E7">
        <w:rPr>
          <w:rFonts w:ascii="Times New Roman" w:eastAsia="Calibri" w:hAnsi="Times New Roman" w:cs="Times New Roman"/>
          <w:b/>
          <w:sz w:val="28"/>
          <w:szCs w:val="28"/>
        </w:rPr>
        <w:t>ф</w:t>
      </w:r>
      <w:r w:rsidRPr="00A764E7">
        <w:rPr>
          <w:rFonts w:ascii="Times New Roman" w:eastAsia="Times New Roman" w:hAnsi="Times New Roman" w:cs="Times New Roman"/>
          <w:b/>
          <w:color w:val="000000"/>
          <w:sz w:val="28"/>
          <w:szCs w:val="28"/>
          <w:lang w:eastAsia="ru-RU"/>
        </w:rPr>
        <w:t xml:space="preserve">онд оплаты труда </w:t>
      </w:r>
      <w:r>
        <w:rPr>
          <w:rFonts w:ascii="Times New Roman" w:eastAsia="Times New Roman" w:hAnsi="Times New Roman" w:cs="Times New Roman"/>
          <w:b/>
          <w:color w:val="000000"/>
          <w:sz w:val="28"/>
          <w:szCs w:val="28"/>
          <w:lang w:eastAsia="ru-RU"/>
        </w:rPr>
        <w:t>работников бюджетной сферы.</w:t>
      </w:r>
      <w:r w:rsidR="00A4275F">
        <w:rPr>
          <w:rFonts w:ascii="Times New Roman" w:eastAsia="Times New Roman" w:hAnsi="Times New Roman" w:cs="Times New Roman"/>
          <w:b/>
          <w:color w:val="000000"/>
          <w:sz w:val="28"/>
          <w:szCs w:val="28"/>
          <w:lang w:eastAsia="ru-RU"/>
        </w:rPr>
        <w:t xml:space="preserve"> </w:t>
      </w:r>
      <w:r w:rsidR="0049271D">
        <w:rPr>
          <w:rFonts w:ascii="Times New Roman" w:eastAsia="Times New Roman" w:hAnsi="Times New Roman" w:cs="Times New Roman"/>
          <w:b/>
          <w:color w:val="000000"/>
          <w:sz w:val="28"/>
          <w:szCs w:val="28"/>
          <w:lang w:eastAsia="ru-RU"/>
        </w:rPr>
        <w:t>Ежегодный прир</w:t>
      </w:r>
      <w:r w:rsidR="00A4275F">
        <w:rPr>
          <w:rFonts w:ascii="Times New Roman" w:eastAsia="Times New Roman" w:hAnsi="Times New Roman" w:cs="Times New Roman"/>
          <w:b/>
          <w:color w:val="000000"/>
          <w:sz w:val="28"/>
          <w:szCs w:val="28"/>
          <w:lang w:eastAsia="ru-RU"/>
        </w:rPr>
        <w:t xml:space="preserve">ост расходов на оплату труда </w:t>
      </w:r>
      <w:r w:rsidR="0049271D">
        <w:rPr>
          <w:rFonts w:ascii="Times New Roman" w:eastAsia="Times New Roman" w:hAnsi="Times New Roman" w:cs="Times New Roman"/>
          <w:b/>
          <w:color w:val="000000"/>
          <w:sz w:val="28"/>
          <w:szCs w:val="28"/>
          <w:lang w:eastAsia="ru-RU"/>
        </w:rPr>
        <w:t>составляет на уровне 2,5</w:t>
      </w:r>
      <w:r w:rsidR="00EC33E5">
        <w:rPr>
          <w:rFonts w:ascii="Times New Roman" w:eastAsia="Times New Roman" w:hAnsi="Times New Roman" w:cs="Times New Roman"/>
          <w:b/>
          <w:color w:val="000000"/>
          <w:sz w:val="28"/>
          <w:szCs w:val="28"/>
          <w:lang w:eastAsia="ru-RU"/>
        </w:rPr>
        <w:t xml:space="preserve"> </w:t>
      </w:r>
      <w:r w:rsidR="0049271D">
        <w:rPr>
          <w:rFonts w:ascii="Times New Roman" w:eastAsia="Times New Roman" w:hAnsi="Times New Roman" w:cs="Times New Roman"/>
          <w:b/>
          <w:color w:val="000000"/>
          <w:sz w:val="28"/>
          <w:szCs w:val="28"/>
          <w:lang w:eastAsia="ru-RU"/>
        </w:rPr>
        <w:t>-</w:t>
      </w:r>
      <w:r w:rsidR="00EC33E5">
        <w:rPr>
          <w:rFonts w:ascii="Times New Roman" w:eastAsia="Times New Roman" w:hAnsi="Times New Roman" w:cs="Times New Roman"/>
          <w:b/>
          <w:color w:val="000000"/>
          <w:sz w:val="28"/>
          <w:szCs w:val="28"/>
          <w:lang w:eastAsia="ru-RU"/>
        </w:rPr>
        <w:t xml:space="preserve"> </w:t>
      </w:r>
      <w:r w:rsidR="0049271D">
        <w:rPr>
          <w:rFonts w:ascii="Times New Roman" w:eastAsia="Times New Roman" w:hAnsi="Times New Roman" w:cs="Times New Roman"/>
          <w:b/>
          <w:color w:val="000000"/>
          <w:sz w:val="28"/>
          <w:szCs w:val="28"/>
          <w:lang w:eastAsia="ru-RU"/>
        </w:rPr>
        <w:t>4 млрд. рублей, что не сопоставимо с приростом собственных доходов бюджета республики.</w:t>
      </w:r>
    </w:p>
    <w:p w:rsidR="00ED6862" w:rsidRPr="00ED6862" w:rsidRDefault="00ED6862" w:rsidP="00ED6862">
      <w:pPr>
        <w:tabs>
          <w:tab w:val="left" w:pos="1134"/>
        </w:tabs>
        <w:spacing w:after="0" w:line="240" w:lineRule="auto"/>
        <w:ind w:firstLine="709"/>
        <w:jc w:val="both"/>
        <w:rPr>
          <w:rFonts w:ascii="Times New Roman" w:eastAsia="Times New Roman" w:hAnsi="Times New Roman" w:cs="Times New Roman"/>
          <w:color w:val="1D1D1D"/>
          <w:sz w:val="28"/>
          <w:szCs w:val="28"/>
          <w:lang w:eastAsia="ru-RU"/>
        </w:rPr>
      </w:pPr>
      <w:r w:rsidRPr="00ED6862">
        <w:rPr>
          <w:rFonts w:ascii="Times New Roman" w:hAnsi="Times New Roman" w:cs="Times New Roman"/>
          <w:b/>
          <w:sz w:val="28"/>
          <w:szCs w:val="28"/>
        </w:rPr>
        <w:t>В 2023 году</w:t>
      </w:r>
      <w:r w:rsidRPr="00ED6862">
        <w:rPr>
          <w:rFonts w:ascii="Times New Roman" w:hAnsi="Times New Roman" w:cs="Times New Roman"/>
          <w:sz w:val="28"/>
          <w:szCs w:val="28"/>
        </w:rPr>
        <w:t xml:space="preserve"> расходы на выплату заработной платы бюджетной сферы без учета целевых составили 23 068 млн. рублей, </w:t>
      </w:r>
      <w:r w:rsidRPr="00ED6862">
        <w:rPr>
          <w:rFonts w:ascii="Times New Roman" w:eastAsia="Times New Roman" w:hAnsi="Times New Roman" w:cs="Times New Roman"/>
          <w:color w:val="1D1D1D"/>
          <w:sz w:val="28"/>
          <w:szCs w:val="28"/>
          <w:lang w:eastAsia="ru-RU"/>
        </w:rPr>
        <w:t>или с ростом на 7% к уровню 2022 года (21 467 млн. рублей).</w:t>
      </w:r>
    </w:p>
    <w:p w:rsidR="00ED6862" w:rsidRPr="00ED6862" w:rsidRDefault="00ED6862" w:rsidP="00ED6862">
      <w:pPr>
        <w:tabs>
          <w:tab w:val="left" w:pos="1134"/>
        </w:tab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 xml:space="preserve">В связи с отсутствием в республике достаточных источников финансирования на обеспечение ежегодного повышения оплаты труда работников бюджетной сферы, в том числе с учетом увеличения с 1 января 2023 года уровня МРОТ на 6% (с 29 030 до 30 860 рублей), а также достижения целевых показателей по «указным» категориям, в течение года </w:t>
      </w:r>
      <w:r w:rsidRPr="00ED6862">
        <w:rPr>
          <w:rFonts w:ascii="Times New Roman" w:eastAsia="Times New Roman" w:hAnsi="Times New Roman" w:cs="Times New Roman"/>
          <w:color w:val="000000" w:themeColor="text1"/>
          <w:sz w:val="28"/>
          <w:szCs w:val="28"/>
          <w:lang w:eastAsia="ru-RU"/>
        </w:rPr>
        <w:t>дополнительно изыскано 3 774 млн. рублей, в том числе за счет:</w:t>
      </w:r>
      <w:r w:rsidRPr="00ED6862">
        <w:rPr>
          <w:rFonts w:ascii="Times New Roman" w:hAnsi="Times New Roman" w:cs="Times New Roman"/>
          <w:sz w:val="28"/>
          <w:szCs w:val="28"/>
        </w:rPr>
        <w:t xml:space="preserve"> </w:t>
      </w:r>
      <w:r w:rsidRPr="00ED6862">
        <w:rPr>
          <w:rFonts w:ascii="Times New Roman" w:eastAsia="Times New Roman" w:hAnsi="Times New Roman" w:cs="Times New Roman"/>
          <w:color w:val="000000" w:themeColor="text1"/>
          <w:sz w:val="28"/>
          <w:szCs w:val="28"/>
          <w:lang w:eastAsia="ru-RU"/>
        </w:rPr>
        <w:t>федеральных дотаций – 2 342 млн. рублей (распоряжениями Правительства РФ от 16.11.2023 г. в сумме 1 933,5 млн. рублей, и от 25.12.2023 г. в сумме 404,3 млн. рублей);</w:t>
      </w:r>
      <w:r w:rsidRPr="00ED6862">
        <w:rPr>
          <w:rFonts w:ascii="Times New Roman" w:hAnsi="Times New Roman" w:cs="Times New Roman"/>
          <w:sz w:val="28"/>
          <w:szCs w:val="28"/>
        </w:rPr>
        <w:t xml:space="preserve"> </w:t>
      </w:r>
      <w:r w:rsidRPr="00ED6862">
        <w:rPr>
          <w:rFonts w:ascii="Times New Roman" w:eastAsia="Times New Roman" w:hAnsi="Times New Roman" w:cs="Times New Roman"/>
          <w:color w:val="000000" w:themeColor="text1"/>
          <w:sz w:val="28"/>
          <w:szCs w:val="28"/>
          <w:lang w:eastAsia="ru-RU"/>
        </w:rPr>
        <w:t>увеличения плана поступления собственных доходов – 650 млн. рублей;</w:t>
      </w:r>
      <w:r w:rsidRPr="00ED6862">
        <w:rPr>
          <w:rFonts w:ascii="Times New Roman" w:hAnsi="Times New Roman" w:cs="Times New Roman"/>
          <w:sz w:val="28"/>
          <w:szCs w:val="28"/>
        </w:rPr>
        <w:t xml:space="preserve"> </w:t>
      </w:r>
      <w:r w:rsidRPr="00ED6862">
        <w:rPr>
          <w:rFonts w:ascii="Times New Roman" w:eastAsia="Times New Roman" w:hAnsi="Times New Roman" w:cs="Times New Roman"/>
          <w:color w:val="000000" w:themeColor="text1"/>
          <w:sz w:val="28"/>
          <w:szCs w:val="28"/>
          <w:lang w:eastAsia="ru-RU"/>
        </w:rPr>
        <w:t>оптимизации расходов - 782 млн. рублей (из них за счет местных бюджетов 116 млн. рублей).</w:t>
      </w:r>
    </w:p>
    <w:p w:rsidR="00ED6862" w:rsidRPr="007C1FE3" w:rsidRDefault="00ED6862" w:rsidP="00ED6862">
      <w:pPr>
        <w:tabs>
          <w:tab w:val="left" w:pos="993"/>
        </w:tabs>
        <w:spacing w:after="0" w:line="240" w:lineRule="auto"/>
        <w:ind w:firstLine="680"/>
        <w:jc w:val="both"/>
        <w:rPr>
          <w:rFonts w:ascii="Times New Roman" w:eastAsia="Times New Roman" w:hAnsi="Times New Roman" w:cs="Times New Roman"/>
          <w:color w:val="000000" w:themeColor="text1"/>
          <w:sz w:val="28"/>
          <w:szCs w:val="28"/>
          <w:lang w:eastAsia="ru-RU"/>
        </w:rPr>
      </w:pPr>
      <w:r w:rsidRPr="00ED6862">
        <w:rPr>
          <w:rFonts w:ascii="Times New Roman" w:hAnsi="Times New Roman" w:cs="Times New Roman"/>
          <w:sz w:val="28"/>
          <w:szCs w:val="28"/>
        </w:rPr>
        <w:t>Кредиторская задолженность по начислениям на оплату труда на      01.01.2023 года составила 352 млн. рублей.</w:t>
      </w:r>
    </w:p>
    <w:p w:rsidR="00FD5ABA" w:rsidRPr="00A764E7" w:rsidRDefault="00FD5ABA" w:rsidP="004E10B5">
      <w:pPr>
        <w:tabs>
          <w:tab w:val="left" w:pos="709"/>
          <w:tab w:val="left" w:pos="851"/>
          <w:tab w:val="left" w:pos="993"/>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Н</w:t>
      </w:r>
      <w:r w:rsidRPr="00A764E7">
        <w:rPr>
          <w:rFonts w:ascii="Times New Roman" w:eastAsia="Times New Roman" w:hAnsi="Times New Roman" w:cs="Times New Roman"/>
          <w:b/>
          <w:color w:val="000000"/>
          <w:sz w:val="28"/>
          <w:szCs w:val="28"/>
          <w:lang w:eastAsia="ru-RU"/>
        </w:rPr>
        <w:t>а 2024 год</w:t>
      </w:r>
      <w:r w:rsidRPr="00A764E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w:t>
      </w:r>
      <w:r w:rsidRPr="000A0DDE">
        <w:rPr>
          <w:rFonts w:ascii="Times New Roman" w:eastAsia="Times New Roman" w:hAnsi="Times New Roman" w:cs="Times New Roman"/>
          <w:color w:val="000000"/>
          <w:sz w:val="28"/>
          <w:szCs w:val="28"/>
          <w:lang w:eastAsia="ru-RU"/>
        </w:rPr>
        <w:t xml:space="preserve">онд оплаты труда </w:t>
      </w:r>
      <w:r w:rsidRPr="00A764E7">
        <w:rPr>
          <w:rFonts w:ascii="Times New Roman" w:eastAsia="Times New Roman" w:hAnsi="Times New Roman" w:cs="Times New Roman"/>
          <w:color w:val="000000"/>
          <w:sz w:val="28"/>
          <w:szCs w:val="28"/>
          <w:lang w:eastAsia="ru-RU"/>
        </w:rPr>
        <w:t>сформирован с учетом:</w:t>
      </w:r>
    </w:p>
    <w:p w:rsidR="00FD5ABA" w:rsidRPr="00A764E7" w:rsidRDefault="00FD5ABA" w:rsidP="004E10B5">
      <w:pPr>
        <w:tabs>
          <w:tab w:val="left" w:pos="709"/>
          <w:tab w:val="left" w:pos="851"/>
          <w:tab w:val="left" w:pos="993"/>
        </w:tabs>
        <w:spacing w:after="0" w:line="240" w:lineRule="auto"/>
        <w:ind w:firstLine="680"/>
        <w:jc w:val="both"/>
        <w:rPr>
          <w:rFonts w:ascii="Times New Roman" w:eastAsia="Times New Roman" w:hAnsi="Times New Roman" w:cs="Times New Roman"/>
          <w:color w:val="000000"/>
          <w:sz w:val="28"/>
          <w:szCs w:val="28"/>
          <w:lang w:eastAsia="ru-RU"/>
        </w:rPr>
      </w:pPr>
      <w:r w:rsidRPr="00A764E7">
        <w:rPr>
          <w:rFonts w:ascii="Times New Roman" w:eastAsia="Times New Roman" w:hAnsi="Times New Roman" w:cs="Times New Roman"/>
          <w:color w:val="000000"/>
          <w:sz w:val="28"/>
          <w:szCs w:val="28"/>
          <w:lang w:eastAsia="ru-RU"/>
        </w:rPr>
        <w:lastRenderedPageBreak/>
        <w:t>–повышения с 1 января 2024 года минимального размера оплаты труда – на 18,5%  (с 30 860 до 36 560 рублей);</w:t>
      </w:r>
    </w:p>
    <w:p w:rsidR="00FD5ABA" w:rsidRPr="00A764E7" w:rsidRDefault="00FD5ABA" w:rsidP="004E10B5">
      <w:pPr>
        <w:tabs>
          <w:tab w:val="left" w:pos="709"/>
          <w:tab w:val="left" w:pos="851"/>
          <w:tab w:val="left" w:pos="993"/>
        </w:tabs>
        <w:spacing w:after="0" w:line="240" w:lineRule="auto"/>
        <w:ind w:firstLine="680"/>
        <w:jc w:val="both"/>
        <w:rPr>
          <w:rFonts w:ascii="Times New Roman" w:eastAsia="Times New Roman" w:hAnsi="Times New Roman" w:cs="Times New Roman"/>
          <w:color w:val="000000"/>
          <w:sz w:val="28"/>
          <w:szCs w:val="28"/>
          <w:lang w:eastAsia="ru-RU"/>
        </w:rPr>
      </w:pPr>
      <w:r w:rsidRPr="00A764E7">
        <w:rPr>
          <w:rFonts w:ascii="Times New Roman" w:eastAsia="Times New Roman" w:hAnsi="Times New Roman" w:cs="Times New Roman"/>
          <w:color w:val="000000"/>
          <w:sz w:val="28"/>
          <w:szCs w:val="28"/>
          <w:lang w:eastAsia="ru-RU"/>
        </w:rPr>
        <w:t>–повышения с 1 января 2024 года оплаты труда «указных» категорий работников – на 9,6%, средняя зарплата увеличится с  46 240 до 50 675 рублей (по данным прогноза СЭР);</w:t>
      </w:r>
    </w:p>
    <w:p w:rsidR="00FD5ABA" w:rsidRPr="00A764E7" w:rsidRDefault="00FD5ABA" w:rsidP="004E10B5">
      <w:pPr>
        <w:tabs>
          <w:tab w:val="left" w:pos="709"/>
          <w:tab w:val="left" w:pos="851"/>
          <w:tab w:val="left" w:pos="993"/>
        </w:tabs>
        <w:spacing w:after="0" w:line="240" w:lineRule="auto"/>
        <w:ind w:firstLine="680"/>
        <w:jc w:val="both"/>
        <w:rPr>
          <w:rFonts w:ascii="Times New Roman" w:eastAsia="Times New Roman" w:hAnsi="Times New Roman" w:cs="Times New Roman"/>
          <w:color w:val="000000"/>
          <w:sz w:val="28"/>
          <w:szCs w:val="28"/>
          <w:lang w:eastAsia="ru-RU"/>
        </w:rPr>
      </w:pPr>
      <w:r w:rsidRPr="00A764E7">
        <w:rPr>
          <w:rFonts w:ascii="Times New Roman" w:eastAsia="Times New Roman" w:hAnsi="Times New Roman" w:cs="Times New Roman"/>
          <w:color w:val="000000"/>
          <w:sz w:val="28"/>
          <w:szCs w:val="28"/>
          <w:lang w:eastAsia="ru-RU"/>
        </w:rPr>
        <w:t>– индексации оплаты труда – на 5,5 % (в 2023 году в связи дефицитом бюджета перенесен срок индексации с 1 октября 2023 года на 1 января 2024 года  в соответствии с подходами, принятыми на федеральном уровне в 2023 году). Индексация должностных окладов коснется всех категорий работников, за исключением «указных» категорий и работников, получающих МРОТ.</w:t>
      </w:r>
    </w:p>
    <w:p w:rsidR="002E4B0E" w:rsidRPr="00A764E7" w:rsidRDefault="0049271D" w:rsidP="00617016">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течение 2024 года на </w:t>
      </w:r>
      <w:r w:rsidR="002E4B0E" w:rsidRPr="00A764E7">
        <w:rPr>
          <w:rFonts w:ascii="Times New Roman" w:eastAsia="Calibri" w:hAnsi="Times New Roman" w:cs="Times New Roman"/>
          <w:sz w:val="28"/>
          <w:szCs w:val="28"/>
        </w:rPr>
        <w:t xml:space="preserve">обеспечение фонда оплаты труда работников бюджетной сферы </w:t>
      </w:r>
      <w:r>
        <w:rPr>
          <w:rFonts w:ascii="Times New Roman" w:eastAsia="Calibri" w:hAnsi="Times New Roman" w:cs="Times New Roman"/>
          <w:sz w:val="28"/>
          <w:szCs w:val="28"/>
        </w:rPr>
        <w:t xml:space="preserve">дополнительно направлено </w:t>
      </w:r>
      <w:r w:rsidR="002E4B0E" w:rsidRPr="00A764E7">
        <w:rPr>
          <w:rFonts w:ascii="Times New Roman" w:eastAsia="Calibri" w:hAnsi="Times New Roman" w:cs="Times New Roman"/>
          <w:sz w:val="28"/>
          <w:szCs w:val="28"/>
        </w:rPr>
        <w:t>2 363 млн. рублей, в том числе за счет федеральных дотаций – 1 531 млн. рублей; увеличения плана поступления собственных доходов на 146 млн. рублей, нераспределенного резерва субвенций местным бюджетам на образование – 458 млн. рублей и оптимиз</w:t>
      </w:r>
      <w:r>
        <w:rPr>
          <w:rFonts w:ascii="Times New Roman" w:eastAsia="Calibri" w:hAnsi="Times New Roman" w:cs="Times New Roman"/>
          <w:sz w:val="28"/>
          <w:szCs w:val="28"/>
        </w:rPr>
        <w:t>ации расходов – 228 млн. рублей.</w:t>
      </w:r>
      <w:r w:rsidR="00617016">
        <w:rPr>
          <w:rFonts w:ascii="Times New Roman" w:eastAsia="Calibri" w:hAnsi="Times New Roman" w:cs="Times New Roman"/>
          <w:sz w:val="28"/>
          <w:szCs w:val="28"/>
        </w:rPr>
        <w:t xml:space="preserve"> </w:t>
      </w:r>
      <w:r w:rsidR="002E4B0E" w:rsidRPr="00A764E7">
        <w:rPr>
          <w:rFonts w:ascii="Times New Roman" w:eastAsia="Calibri" w:hAnsi="Times New Roman" w:cs="Times New Roman"/>
          <w:sz w:val="28"/>
          <w:szCs w:val="28"/>
        </w:rPr>
        <w:t>До конца финансового года остается не обеспеченным 793 млн. рублей.</w:t>
      </w:r>
    </w:p>
    <w:p w:rsidR="00FD5ABA" w:rsidRDefault="00FD5ABA" w:rsidP="004E10B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Работа по мониторингу начисления и выплаты заработной платы будет продолжена.</w:t>
      </w:r>
    </w:p>
    <w:p w:rsidR="00FD5ABA" w:rsidRPr="00A764E7" w:rsidRDefault="00FD5ABA" w:rsidP="004E10B5">
      <w:pPr>
        <w:spacing w:after="0" w:line="240" w:lineRule="auto"/>
        <w:ind w:firstLine="680"/>
        <w:jc w:val="both"/>
        <w:rPr>
          <w:rFonts w:ascii="Times New Roman" w:hAnsi="Times New Roman" w:cs="Times New Roman"/>
          <w:sz w:val="28"/>
          <w:szCs w:val="28"/>
        </w:rPr>
      </w:pPr>
    </w:p>
    <w:p w:rsidR="00B53DC8" w:rsidRPr="00375FDF" w:rsidRDefault="00B53DC8" w:rsidP="004E10B5">
      <w:pPr>
        <w:spacing w:after="0" w:line="240" w:lineRule="auto"/>
        <w:ind w:firstLine="680"/>
        <w:jc w:val="both"/>
        <w:rPr>
          <w:rFonts w:ascii="Times New Roman" w:eastAsia="Calibri" w:hAnsi="Times New Roman" w:cs="Times New Roman"/>
          <w:b/>
          <w:sz w:val="28"/>
          <w:szCs w:val="28"/>
        </w:rPr>
      </w:pPr>
      <w:r w:rsidRPr="00A764E7">
        <w:rPr>
          <w:rFonts w:ascii="Times New Roman" w:eastAsia="Calibri" w:hAnsi="Times New Roman" w:cs="Times New Roman"/>
          <w:b/>
          <w:sz w:val="28"/>
          <w:szCs w:val="28"/>
        </w:rPr>
        <w:t>В целях усиления финансовой дисципли</w:t>
      </w:r>
      <w:r w:rsidR="0049271D">
        <w:rPr>
          <w:rFonts w:ascii="Times New Roman" w:eastAsia="Calibri" w:hAnsi="Times New Roman" w:cs="Times New Roman"/>
          <w:b/>
          <w:sz w:val="28"/>
          <w:szCs w:val="28"/>
        </w:rPr>
        <w:t>ны на долгосрочную перспективу с 2021 года начата поэтапная ц</w:t>
      </w:r>
      <w:r w:rsidRPr="00375FDF">
        <w:rPr>
          <w:rFonts w:ascii="Times New Roman" w:eastAsia="Calibri" w:hAnsi="Times New Roman" w:cs="Times New Roman"/>
          <w:b/>
          <w:sz w:val="28"/>
          <w:szCs w:val="28"/>
        </w:rPr>
        <w:t xml:space="preserve">ентрализация </w:t>
      </w:r>
      <w:r w:rsidR="0049271D">
        <w:rPr>
          <w:rFonts w:ascii="Times New Roman" w:eastAsia="Calibri" w:hAnsi="Times New Roman" w:cs="Times New Roman"/>
          <w:b/>
          <w:sz w:val="28"/>
          <w:szCs w:val="28"/>
        </w:rPr>
        <w:t>учетных</w:t>
      </w:r>
      <w:r w:rsidRPr="00375FDF">
        <w:rPr>
          <w:rFonts w:ascii="Times New Roman" w:eastAsia="Calibri" w:hAnsi="Times New Roman" w:cs="Times New Roman"/>
          <w:b/>
          <w:sz w:val="28"/>
          <w:szCs w:val="28"/>
        </w:rPr>
        <w:t xml:space="preserve"> функций государственных </w:t>
      </w:r>
      <w:r w:rsidR="00F1234E">
        <w:rPr>
          <w:rFonts w:ascii="Times New Roman" w:eastAsia="Calibri" w:hAnsi="Times New Roman" w:cs="Times New Roman"/>
          <w:b/>
          <w:sz w:val="28"/>
          <w:szCs w:val="28"/>
        </w:rPr>
        <w:t xml:space="preserve">и муниципальных </w:t>
      </w:r>
      <w:r w:rsidRPr="00375FDF">
        <w:rPr>
          <w:rFonts w:ascii="Times New Roman" w:eastAsia="Calibri" w:hAnsi="Times New Roman" w:cs="Times New Roman"/>
          <w:b/>
          <w:sz w:val="28"/>
          <w:szCs w:val="28"/>
        </w:rPr>
        <w:t>органов.</w:t>
      </w:r>
    </w:p>
    <w:p w:rsidR="00B53DC8" w:rsidRPr="00A764E7" w:rsidRDefault="002F0E17" w:rsidP="004E10B5">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В 2021-2023 годах</w:t>
      </w:r>
      <w:r w:rsidR="00B53DC8" w:rsidRPr="00A764E7">
        <w:rPr>
          <w:rFonts w:ascii="Times New Roman" w:eastAsia="Calibri" w:hAnsi="Times New Roman" w:cs="Times New Roman"/>
          <w:sz w:val="28"/>
          <w:szCs w:val="28"/>
        </w:rPr>
        <w:t xml:space="preserve"> централизованы отдельные обеспечивающие полномочия органов исполнительной власти и местного самоуправления в сфере ведения бухгалтерского учета и предоставления отчетности, закупочной деятельности.</w:t>
      </w:r>
    </w:p>
    <w:p w:rsidR="00B53DC8" w:rsidRPr="00A764E7" w:rsidRDefault="00B53DC8" w:rsidP="004E10B5">
      <w:pPr>
        <w:spacing w:after="0" w:line="240" w:lineRule="auto"/>
        <w:ind w:firstLine="680"/>
        <w:jc w:val="both"/>
        <w:rPr>
          <w:rFonts w:ascii="Times New Roman" w:eastAsia="Calibri" w:hAnsi="Times New Roman" w:cs="Times New Roman"/>
          <w:sz w:val="28"/>
          <w:szCs w:val="28"/>
        </w:rPr>
      </w:pPr>
      <w:r w:rsidRPr="00A764E7">
        <w:rPr>
          <w:rFonts w:ascii="Times New Roman" w:eastAsia="Calibri" w:hAnsi="Times New Roman" w:cs="Times New Roman"/>
          <w:sz w:val="28"/>
          <w:szCs w:val="28"/>
        </w:rPr>
        <w:t xml:space="preserve">Проводится поэтапная работа по централизации учета в целях минимизации нарушений, автоматизации процессов ведения бухгалтерского учета и формирования единой базы учетных данных. </w:t>
      </w:r>
    </w:p>
    <w:p w:rsidR="00B53DC8" w:rsidRPr="00ED6862" w:rsidRDefault="00B53DC8" w:rsidP="004E10B5">
      <w:pPr>
        <w:spacing w:after="0" w:line="240" w:lineRule="auto"/>
        <w:ind w:firstLine="680"/>
        <w:jc w:val="both"/>
        <w:rPr>
          <w:rFonts w:ascii="Times New Roman" w:hAnsi="Times New Roman" w:cs="Times New Roman"/>
          <w:sz w:val="28"/>
          <w:szCs w:val="28"/>
        </w:rPr>
      </w:pPr>
      <w:r w:rsidRPr="00A764E7">
        <w:rPr>
          <w:rFonts w:ascii="Times New Roman" w:hAnsi="Times New Roman" w:cs="Times New Roman"/>
          <w:sz w:val="28"/>
          <w:szCs w:val="28"/>
        </w:rPr>
        <w:t xml:space="preserve">С 2023 года проводится работа по централизации закупок на республиканском уровне, что позволит экономить средства бюджета на консолидированных и совместных закупках. По итогам проведенных торгов июне в среднем экономия составляет 30% от начальной максимальной цены контрактов (общая </w:t>
      </w:r>
      <w:r w:rsidRPr="00ED6862">
        <w:rPr>
          <w:rFonts w:ascii="Times New Roman" w:hAnsi="Times New Roman" w:cs="Times New Roman"/>
          <w:sz w:val="28"/>
          <w:szCs w:val="28"/>
        </w:rPr>
        <w:t>сумма закупок 3,9 млн. рублей, экономия 1,3 млн. рублей).</w:t>
      </w:r>
    </w:p>
    <w:p w:rsidR="00A87EE7" w:rsidRPr="00ED6862" w:rsidRDefault="00A87EE7" w:rsidP="00E00E37">
      <w:pPr>
        <w:spacing w:after="0" w:line="240" w:lineRule="auto"/>
        <w:ind w:firstLine="709"/>
        <w:jc w:val="both"/>
        <w:textAlignment w:val="baseline"/>
        <w:rPr>
          <w:rFonts w:ascii="Times New Roman" w:eastAsia="Times New Roman" w:hAnsi="Times New Roman" w:cs="Times New Roman"/>
          <w:sz w:val="28"/>
          <w:szCs w:val="28"/>
          <w:lang w:eastAsia="ru-RU"/>
        </w:rPr>
      </w:pPr>
    </w:p>
    <w:p w:rsidR="0075661C" w:rsidRPr="00ED6862" w:rsidRDefault="00774485" w:rsidP="00942800">
      <w:pPr>
        <w:pStyle w:val="a3"/>
        <w:numPr>
          <w:ilvl w:val="0"/>
          <w:numId w:val="1"/>
        </w:numPr>
        <w:tabs>
          <w:tab w:val="left" w:pos="284"/>
        </w:tabs>
        <w:ind w:left="0" w:firstLine="0"/>
        <w:jc w:val="center"/>
        <w:rPr>
          <w:b/>
          <w:sz w:val="28"/>
          <w:szCs w:val="28"/>
          <w:lang w:eastAsia="ru-RU"/>
        </w:rPr>
      </w:pPr>
      <w:r w:rsidRPr="00ED6862">
        <w:rPr>
          <w:b/>
          <w:color w:val="000000" w:themeColor="text1"/>
          <w:sz w:val="28"/>
          <w:szCs w:val="28"/>
        </w:rPr>
        <w:t>Основные задачи и н</w:t>
      </w:r>
      <w:r w:rsidR="00446207" w:rsidRPr="00ED6862">
        <w:rPr>
          <w:b/>
          <w:color w:val="000000" w:themeColor="text1"/>
          <w:sz w:val="28"/>
          <w:szCs w:val="28"/>
        </w:rPr>
        <w:t xml:space="preserve">аправления налоговой политики </w:t>
      </w:r>
      <w:r w:rsidR="002628F7" w:rsidRPr="00ED6862">
        <w:rPr>
          <w:b/>
          <w:color w:val="000000" w:themeColor="text1"/>
          <w:sz w:val="28"/>
          <w:szCs w:val="28"/>
        </w:rPr>
        <w:t xml:space="preserve">Республики Тыва </w:t>
      </w:r>
    </w:p>
    <w:p w:rsidR="00446207" w:rsidRPr="00ED6862" w:rsidRDefault="002628F7" w:rsidP="00942800">
      <w:pPr>
        <w:tabs>
          <w:tab w:val="left" w:pos="284"/>
        </w:tabs>
        <w:spacing w:after="0" w:line="240" w:lineRule="auto"/>
        <w:jc w:val="center"/>
        <w:rPr>
          <w:rFonts w:ascii="Times New Roman" w:hAnsi="Times New Roman" w:cs="Times New Roman"/>
          <w:b/>
          <w:color w:val="000000" w:themeColor="text1"/>
          <w:sz w:val="28"/>
          <w:szCs w:val="28"/>
        </w:rPr>
      </w:pPr>
      <w:r w:rsidRPr="00ED6862">
        <w:rPr>
          <w:rFonts w:ascii="Times New Roman" w:hAnsi="Times New Roman" w:cs="Times New Roman"/>
          <w:b/>
          <w:sz w:val="28"/>
          <w:szCs w:val="28"/>
          <w:lang w:eastAsia="ru-RU"/>
        </w:rPr>
        <w:t xml:space="preserve">на 2025 год </w:t>
      </w:r>
      <w:r w:rsidR="00446207" w:rsidRPr="00ED6862">
        <w:rPr>
          <w:rFonts w:ascii="Times New Roman" w:hAnsi="Times New Roman" w:cs="Times New Roman"/>
          <w:b/>
          <w:sz w:val="28"/>
          <w:szCs w:val="28"/>
          <w:lang w:eastAsia="ru-RU"/>
        </w:rPr>
        <w:t>и на плановый период 2026 и 2027 годов</w:t>
      </w:r>
    </w:p>
    <w:p w:rsidR="0075661C" w:rsidRPr="00ED6862" w:rsidRDefault="0075661C" w:rsidP="00E00E37">
      <w:pPr>
        <w:suppressAutoHyphens/>
        <w:spacing w:after="0" w:line="240" w:lineRule="auto"/>
        <w:ind w:firstLine="709"/>
        <w:jc w:val="both"/>
        <w:rPr>
          <w:rFonts w:ascii="Times New Roman" w:hAnsi="Times New Roman" w:cs="Times New Roman"/>
          <w:sz w:val="28"/>
          <w:szCs w:val="28"/>
        </w:rPr>
      </w:pPr>
    </w:p>
    <w:p w:rsidR="00A44FBA" w:rsidRPr="00ED6862" w:rsidRDefault="00A44FBA"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Основными задачами налоговой политики республики на 2025-2027 годы являются восстановление ключевых макроэкономических показателей на досанкционный уровень, расширение спектра отраслей с положительной динамикой экономической активности, привлечение в экономику региона частных инвестиций.</w:t>
      </w:r>
    </w:p>
    <w:p w:rsidR="00A44FBA" w:rsidRPr="00ED6862" w:rsidRDefault="00A44FBA"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lastRenderedPageBreak/>
        <w:t xml:space="preserve">Решение поставленных задач налоговой политики будет осуществляться в условиях следующих изменений </w:t>
      </w:r>
      <w:r w:rsidRPr="00ED6862">
        <w:rPr>
          <w:rFonts w:ascii="Times New Roman" w:hAnsi="Times New Roman" w:cs="Times New Roman"/>
          <w:b/>
          <w:sz w:val="28"/>
          <w:szCs w:val="28"/>
        </w:rPr>
        <w:t>федерального законодательства:</w:t>
      </w:r>
    </w:p>
    <w:p w:rsidR="00A44FBA" w:rsidRPr="00ED6862" w:rsidRDefault="00A44FBA" w:rsidP="00E00E37">
      <w:pPr>
        <w:pStyle w:val="a3"/>
        <w:numPr>
          <w:ilvl w:val="0"/>
          <w:numId w:val="38"/>
        </w:numPr>
        <w:suppressAutoHyphens/>
        <w:jc w:val="both"/>
        <w:rPr>
          <w:i/>
          <w:sz w:val="28"/>
          <w:szCs w:val="28"/>
        </w:rPr>
      </w:pPr>
      <w:r w:rsidRPr="00ED6862">
        <w:rPr>
          <w:i/>
          <w:sz w:val="28"/>
          <w:szCs w:val="28"/>
        </w:rPr>
        <w:t>По налогу на прибыль организаций планируется:</w:t>
      </w:r>
    </w:p>
    <w:p w:rsidR="00A44FBA" w:rsidRPr="00ED6862" w:rsidRDefault="00A44FBA" w:rsidP="00E00E37">
      <w:pPr>
        <w:pStyle w:val="a3"/>
        <w:numPr>
          <w:ilvl w:val="0"/>
          <w:numId w:val="33"/>
        </w:numPr>
        <w:suppressAutoHyphens/>
        <w:ind w:left="0" w:firstLine="709"/>
        <w:jc w:val="both"/>
        <w:rPr>
          <w:rFonts w:eastAsiaTheme="minorHAnsi"/>
          <w:sz w:val="28"/>
          <w:szCs w:val="28"/>
        </w:rPr>
      </w:pPr>
      <w:r w:rsidRPr="00ED6862">
        <w:rPr>
          <w:rFonts w:eastAsiaTheme="minorHAnsi"/>
          <w:sz w:val="28"/>
          <w:szCs w:val="28"/>
        </w:rPr>
        <w:t>увеличение общей налоговой ставки по налогу с 20 до 25%, при этом изменения коснутся размера федеральной составляющей налоговой ставки с 3 до 8%, размер зачисления налога в бюджеты регионов остается без изменений – 17%. Норма действует до 2030 года включительно.</w:t>
      </w:r>
    </w:p>
    <w:p w:rsidR="00A44FBA" w:rsidRPr="00ED6862" w:rsidRDefault="00A44FBA" w:rsidP="00E00E37">
      <w:pPr>
        <w:pStyle w:val="a3"/>
        <w:numPr>
          <w:ilvl w:val="0"/>
          <w:numId w:val="33"/>
        </w:numPr>
        <w:suppressAutoHyphens/>
        <w:ind w:left="0" w:firstLine="709"/>
        <w:jc w:val="both"/>
        <w:rPr>
          <w:sz w:val="28"/>
          <w:szCs w:val="28"/>
        </w:rPr>
      </w:pPr>
      <w:r w:rsidRPr="00ED6862">
        <w:rPr>
          <w:rFonts w:eastAsia="Times New Roman"/>
          <w:sz w:val="28"/>
          <w:szCs w:val="28"/>
        </w:rPr>
        <w:t xml:space="preserve">повышение ставки по налогу на прибыль для ИТ-компаний на 2025 - 2030 годы с 0 до 5% </w:t>
      </w:r>
      <w:r w:rsidRPr="00ED6862">
        <w:rPr>
          <w:rFonts w:eastAsia="Times New Roman"/>
          <w:i/>
          <w:sz w:val="28"/>
          <w:szCs w:val="28"/>
        </w:rPr>
        <w:t>(в Едином реестре субъектов МСП на территории Республики Тыва по виду деятельности «Разработка компьютерного программного обеспечения, консультационные услуги в области компьютерных технологий» зарегистрированы 38 ед. юридических лиц (ООО)</w:t>
      </w:r>
      <w:r w:rsidRPr="00ED6862">
        <w:rPr>
          <w:rFonts w:eastAsia="Times New Roman"/>
          <w:sz w:val="28"/>
          <w:szCs w:val="28"/>
        </w:rPr>
        <w:t>;</w:t>
      </w:r>
    </w:p>
    <w:p w:rsidR="00A44FBA" w:rsidRPr="00ED6862" w:rsidRDefault="00A44FBA" w:rsidP="00E00E37">
      <w:pPr>
        <w:pStyle w:val="a3"/>
        <w:numPr>
          <w:ilvl w:val="0"/>
          <w:numId w:val="33"/>
        </w:numPr>
        <w:suppressAutoHyphens/>
        <w:ind w:left="0" w:firstLine="709"/>
        <w:jc w:val="both"/>
        <w:rPr>
          <w:rFonts w:eastAsiaTheme="minorHAnsi"/>
          <w:sz w:val="28"/>
          <w:szCs w:val="28"/>
        </w:rPr>
      </w:pPr>
      <w:r w:rsidRPr="00ED6862">
        <w:rPr>
          <w:rFonts w:eastAsiaTheme="minorHAnsi"/>
          <w:sz w:val="28"/>
          <w:szCs w:val="28"/>
        </w:rPr>
        <w:t>введение нового федерального инвестиционного вычета для организаций из приоритетных отраслей, который позволит налогоплательщикам уменьшить налог на расходы по основным средствам или нематериальным активам. После вычета федеральная часть налога не может быть меньше 3%;</w:t>
      </w:r>
    </w:p>
    <w:p w:rsidR="00A44FBA" w:rsidRPr="00ED6862" w:rsidRDefault="00A44FBA" w:rsidP="00E00E37">
      <w:pPr>
        <w:pStyle w:val="a3"/>
        <w:numPr>
          <w:ilvl w:val="0"/>
          <w:numId w:val="33"/>
        </w:numPr>
        <w:suppressAutoHyphens/>
        <w:ind w:left="0" w:firstLine="709"/>
        <w:jc w:val="both"/>
        <w:rPr>
          <w:rFonts w:eastAsiaTheme="minorHAnsi"/>
          <w:sz w:val="28"/>
          <w:szCs w:val="28"/>
        </w:rPr>
      </w:pPr>
      <w:r w:rsidRPr="00ED6862">
        <w:rPr>
          <w:rFonts w:eastAsiaTheme="minorHAnsi"/>
          <w:sz w:val="28"/>
          <w:szCs w:val="28"/>
        </w:rPr>
        <w:t xml:space="preserve">введение бессрочного действия механизма регионального инвестиционного вычета, изначально вычет был введен до 31 декабря 2027 года включительно </w:t>
      </w:r>
      <w:r w:rsidRPr="00ED6862">
        <w:rPr>
          <w:i/>
          <w:sz w:val="28"/>
          <w:szCs w:val="28"/>
        </w:rPr>
        <w:t>(в Республике Тыва РИВ регламентируется Законом Республики Тыва от 27 ноября 2019 года № 552-ЗРТ «О применении на территории Республики Тыва инвестиционного налогового вычета по налогу на прибыль организаций»)</w:t>
      </w:r>
      <w:r w:rsidRPr="00ED6862">
        <w:rPr>
          <w:sz w:val="28"/>
          <w:szCs w:val="28"/>
        </w:rPr>
        <w:t>.</w:t>
      </w:r>
    </w:p>
    <w:p w:rsidR="00A44FBA" w:rsidRPr="00ED6862" w:rsidRDefault="00A44FBA" w:rsidP="00E00E37">
      <w:pPr>
        <w:pStyle w:val="a3"/>
        <w:suppressAutoHyphens/>
        <w:ind w:left="0" w:firstLine="709"/>
        <w:jc w:val="both"/>
        <w:rPr>
          <w:rFonts w:eastAsiaTheme="minorHAnsi"/>
          <w:sz w:val="28"/>
          <w:szCs w:val="28"/>
        </w:rPr>
      </w:pPr>
      <w:r w:rsidRPr="00ED6862">
        <w:rPr>
          <w:rFonts w:eastAsiaTheme="minorHAnsi"/>
          <w:sz w:val="28"/>
          <w:szCs w:val="28"/>
        </w:rPr>
        <w:t>В 2023 году региональным инвестиционным вычетом на территории республики воспользовались 2 налогоплательщика на общую сумму 13 млн. рублей, с ростом по сравнению с 2022 годом на 18% или на 2 млн. рублей.</w:t>
      </w:r>
    </w:p>
    <w:p w:rsidR="00A44FBA" w:rsidRPr="00ED6862" w:rsidRDefault="00A44FBA" w:rsidP="00E00E37">
      <w:pPr>
        <w:tabs>
          <w:tab w:val="left" w:pos="0"/>
        </w:tabs>
        <w:spacing w:after="0" w:line="240" w:lineRule="auto"/>
        <w:ind w:firstLine="709"/>
        <w:jc w:val="both"/>
        <w:rPr>
          <w:rFonts w:ascii="Times New Roman" w:eastAsia="Calibri" w:hAnsi="Times New Roman" w:cs="Times New Roman"/>
          <w:sz w:val="28"/>
          <w:szCs w:val="28"/>
        </w:rPr>
      </w:pPr>
      <w:r w:rsidRPr="00ED6862">
        <w:rPr>
          <w:rFonts w:ascii="Times New Roman" w:eastAsia="Times New Roman" w:hAnsi="Times New Roman" w:cs="Times New Roman"/>
          <w:bCs/>
          <w:iCs/>
          <w:sz w:val="28"/>
          <w:szCs w:val="28"/>
          <w:lang w:eastAsia="ru-RU"/>
        </w:rPr>
        <w:t xml:space="preserve">На региональном уровне </w:t>
      </w:r>
      <w:r w:rsidRPr="00ED6862">
        <w:rPr>
          <w:rFonts w:ascii="Times New Roman" w:eastAsia="Calibri" w:hAnsi="Times New Roman" w:cs="Times New Roman"/>
          <w:sz w:val="28"/>
          <w:szCs w:val="28"/>
        </w:rPr>
        <w:t xml:space="preserve">налоговое законодательство также обеспечит стабильность условий осуществления инвестиционной деятельности </w:t>
      </w:r>
      <w:r w:rsidRPr="00ED6862">
        <w:rPr>
          <w:rFonts w:ascii="Times New Roman" w:eastAsia="Calibri" w:hAnsi="Times New Roman" w:cs="Times New Roman"/>
          <w:sz w:val="28"/>
          <w:szCs w:val="28"/>
        </w:rPr>
        <w:br/>
        <w:t xml:space="preserve">в республике. В предстоящем прогнозном периоде будут сохранены действующие налоговые преференции, предоставленные в качестве мер государственной поддержки новых крупных инвестиционных и социально-значимых проектов </w:t>
      </w:r>
      <w:r w:rsidRPr="00ED6862">
        <w:rPr>
          <w:rFonts w:ascii="Times New Roman" w:eastAsia="Calibri" w:hAnsi="Times New Roman" w:cs="Times New Roman"/>
          <w:sz w:val="28"/>
          <w:szCs w:val="28"/>
        </w:rPr>
        <w:br/>
        <w:t>до окончания сроков их действия.</w:t>
      </w:r>
    </w:p>
    <w:p w:rsidR="00A44FBA" w:rsidRPr="00ED6862" w:rsidRDefault="00A44FBA" w:rsidP="00E00E37">
      <w:pPr>
        <w:pStyle w:val="a3"/>
        <w:numPr>
          <w:ilvl w:val="0"/>
          <w:numId w:val="38"/>
        </w:numPr>
        <w:tabs>
          <w:tab w:val="left" w:pos="0"/>
        </w:tabs>
        <w:suppressAutoHyphens/>
        <w:ind w:left="0" w:firstLine="709"/>
        <w:jc w:val="both"/>
        <w:rPr>
          <w:i/>
          <w:sz w:val="28"/>
          <w:szCs w:val="28"/>
        </w:rPr>
      </w:pPr>
      <w:r w:rsidRPr="00ED6862">
        <w:rPr>
          <w:i/>
          <w:sz w:val="28"/>
          <w:szCs w:val="28"/>
        </w:rPr>
        <w:t xml:space="preserve">По налогу на доходы физических лиц </w:t>
      </w:r>
      <w:r w:rsidRPr="00ED6862">
        <w:rPr>
          <w:sz w:val="28"/>
          <w:szCs w:val="28"/>
        </w:rPr>
        <w:t>изменения основаны на повышении справедливости распределения налоговой нагрузки, сокращая ее за счет налоговых вычетов для семей с детьми, имеющих низкий доход, и увеличивая для налогоплательщиков со сверхвысокими доходами. Так, с 1 января 2025 году планируются следующие изменения:</w:t>
      </w:r>
    </w:p>
    <w:p w:rsidR="00A44FBA" w:rsidRPr="00ED6862" w:rsidRDefault="00A44FBA" w:rsidP="00E00E37">
      <w:pPr>
        <w:pStyle w:val="a3"/>
        <w:widowControl w:val="0"/>
        <w:numPr>
          <w:ilvl w:val="0"/>
          <w:numId w:val="33"/>
        </w:numPr>
        <w:tabs>
          <w:tab w:val="left" w:pos="0"/>
        </w:tabs>
        <w:autoSpaceDE w:val="0"/>
        <w:autoSpaceDN w:val="0"/>
        <w:adjustRightInd w:val="0"/>
        <w:ind w:left="0" w:right="140" w:firstLine="709"/>
        <w:jc w:val="both"/>
        <w:rPr>
          <w:rFonts w:eastAsia="Times New Roman"/>
          <w:sz w:val="28"/>
          <w:szCs w:val="28"/>
          <w:lang w:eastAsia="ru-RU"/>
        </w:rPr>
      </w:pPr>
      <w:r w:rsidRPr="00ED6862">
        <w:rPr>
          <w:sz w:val="28"/>
          <w:szCs w:val="28"/>
        </w:rPr>
        <w:t>введение пятиступенчатой прогрессивной шкалы ставок по налогу на доходы физических лиц (далее – НДФЛ) в зависимости от размера и вида, полученного налогоплательщиком в налоговом периоде дохода, взамен применяемых в настоящее время двух 13% и 15% ставок с доходов, не превышающих 5 млн. рублей в год и более 5 млн. рублей в год.</w:t>
      </w:r>
    </w:p>
    <w:p w:rsidR="00A44FBA" w:rsidRPr="00ED6862" w:rsidRDefault="00A44FBA" w:rsidP="00E00E37">
      <w:pPr>
        <w:pStyle w:val="a3"/>
        <w:widowControl w:val="0"/>
        <w:tabs>
          <w:tab w:val="left" w:pos="0"/>
        </w:tabs>
        <w:autoSpaceDE w:val="0"/>
        <w:autoSpaceDN w:val="0"/>
        <w:adjustRightInd w:val="0"/>
        <w:ind w:left="0" w:right="140" w:firstLine="709"/>
        <w:jc w:val="both"/>
        <w:rPr>
          <w:sz w:val="28"/>
          <w:szCs w:val="28"/>
        </w:rPr>
      </w:pPr>
      <w:r w:rsidRPr="00ED6862">
        <w:rPr>
          <w:sz w:val="28"/>
          <w:szCs w:val="28"/>
        </w:rPr>
        <w:t xml:space="preserve">Новые ставки по НДФЛ и нормативы отчислений от налога в бюджеты субъектов в зависимости от размера и вида доходов в соответствии с </w:t>
      </w:r>
      <w:r w:rsidRPr="00ED6862">
        <w:rPr>
          <w:sz w:val="28"/>
          <w:szCs w:val="28"/>
        </w:rPr>
        <w:lastRenderedPageBreak/>
        <w:t xml:space="preserve">Бюджетным кодексом установлены следующим образом. </w:t>
      </w:r>
    </w:p>
    <w:p w:rsidR="00A44FBA" w:rsidRPr="00ED6862" w:rsidRDefault="00A44FBA" w:rsidP="00E00E37">
      <w:pPr>
        <w:pStyle w:val="a3"/>
        <w:widowControl w:val="0"/>
        <w:autoSpaceDE w:val="0"/>
        <w:autoSpaceDN w:val="0"/>
        <w:adjustRightInd w:val="0"/>
        <w:ind w:left="0" w:right="140" w:firstLine="709"/>
        <w:jc w:val="both"/>
        <w:rPr>
          <w:rFonts w:eastAsia="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3248"/>
        <w:gridCol w:w="5386"/>
      </w:tblGrid>
      <w:tr w:rsidR="00A44FBA" w:rsidRPr="00ED6862" w:rsidTr="00A764E7">
        <w:tc>
          <w:tcPr>
            <w:tcW w:w="1005"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Ставка</w:t>
            </w:r>
          </w:p>
        </w:tc>
        <w:tc>
          <w:tcPr>
            <w:tcW w:w="3248"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Доход за год</w:t>
            </w:r>
          </w:p>
        </w:tc>
        <w:tc>
          <w:tcPr>
            <w:tcW w:w="5386"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Нормативы отчислений в части суммы налога, относящейся к налоговой базе, превышающей суммы доходов</w:t>
            </w:r>
          </w:p>
        </w:tc>
      </w:tr>
      <w:tr w:rsidR="00A44FBA" w:rsidRPr="00ED6862" w:rsidTr="00A764E7">
        <w:tc>
          <w:tcPr>
            <w:tcW w:w="1005"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13%</w:t>
            </w:r>
          </w:p>
        </w:tc>
        <w:tc>
          <w:tcPr>
            <w:tcW w:w="3248"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до 2,4 млн. рублей включительно</w:t>
            </w:r>
          </w:p>
        </w:tc>
        <w:tc>
          <w:tcPr>
            <w:tcW w:w="5386"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100% в консолидированный бюджет субъекта</w:t>
            </w:r>
          </w:p>
        </w:tc>
      </w:tr>
      <w:tr w:rsidR="00A44FBA" w:rsidRPr="00ED6862" w:rsidTr="00A764E7">
        <w:tc>
          <w:tcPr>
            <w:tcW w:w="1005"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15%</w:t>
            </w:r>
          </w:p>
        </w:tc>
        <w:tc>
          <w:tcPr>
            <w:tcW w:w="3248"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от 2,4 до 5 млн. рублей</w:t>
            </w:r>
          </w:p>
        </w:tc>
        <w:tc>
          <w:tcPr>
            <w:tcW w:w="5386"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федеральный бюджет – 13%, бюджеты субъектов – 87%</w:t>
            </w:r>
          </w:p>
        </w:tc>
      </w:tr>
      <w:tr w:rsidR="00A44FBA" w:rsidRPr="00ED6862" w:rsidTr="00A764E7">
        <w:tc>
          <w:tcPr>
            <w:tcW w:w="1005"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18%</w:t>
            </w:r>
          </w:p>
        </w:tc>
        <w:tc>
          <w:tcPr>
            <w:tcW w:w="3248"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от 5 до 20 млн. рублей</w:t>
            </w:r>
          </w:p>
        </w:tc>
        <w:tc>
          <w:tcPr>
            <w:tcW w:w="5386"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федеральный бюджет – 28%, бюджеты субъектов – 72%</w:t>
            </w:r>
          </w:p>
        </w:tc>
      </w:tr>
      <w:tr w:rsidR="00A44FBA" w:rsidRPr="00ED6862" w:rsidTr="00A764E7">
        <w:tc>
          <w:tcPr>
            <w:tcW w:w="1005"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20%</w:t>
            </w:r>
          </w:p>
        </w:tc>
        <w:tc>
          <w:tcPr>
            <w:tcW w:w="3248"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от 20 до 50 млн. рублей</w:t>
            </w:r>
          </w:p>
        </w:tc>
        <w:tc>
          <w:tcPr>
            <w:tcW w:w="5386"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федеральный бюджет – 35%, бюджеты субъектов – 65%</w:t>
            </w:r>
          </w:p>
        </w:tc>
      </w:tr>
      <w:tr w:rsidR="00A44FBA" w:rsidRPr="00ED6862" w:rsidTr="00A764E7">
        <w:tc>
          <w:tcPr>
            <w:tcW w:w="1005"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center"/>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22%</w:t>
            </w:r>
          </w:p>
        </w:tc>
        <w:tc>
          <w:tcPr>
            <w:tcW w:w="3248"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свыше 50 млн. рублей</w:t>
            </w:r>
          </w:p>
        </w:tc>
        <w:tc>
          <w:tcPr>
            <w:tcW w:w="5386" w:type="dxa"/>
            <w:tcBorders>
              <w:top w:val="single" w:sz="4" w:space="0" w:color="auto"/>
              <w:left w:val="single" w:sz="4" w:space="0" w:color="auto"/>
              <w:bottom w:val="single" w:sz="4" w:space="0" w:color="auto"/>
              <w:right w:val="single" w:sz="4" w:space="0" w:color="auto"/>
            </w:tcBorders>
            <w:hideMark/>
          </w:tcPr>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eastAsia="ru-RU"/>
              </w:rPr>
            </w:pPr>
            <w:r w:rsidRPr="00ED6862">
              <w:rPr>
                <w:rFonts w:ascii="Times New Roman" w:eastAsia="Times New Roman" w:hAnsi="Times New Roman" w:cs="Times New Roman"/>
                <w:sz w:val="20"/>
                <w:szCs w:val="20"/>
                <w:lang w:eastAsia="ru-RU"/>
              </w:rPr>
              <w:t>федеральный бюджет – 40%, бюджеты субъектов – 60%</w:t>
            </w:r>
          </w:p>
        </w:tc>
      </w:tr>
    </w:tbl>
    <w:p w:rsidR="00A44FBA" w:rsidRPr="00ED6862" w:rsidRDefault="00A44FBA" w:rsidP="00E00E37">
      <w:pPr>
        <w:widowControl w:val="0"/>
        <w:autoSpaceDE w:val="0"/>
        <w:autoSpaceDN w:val="0"/>
        <w:adjustRightInd w:val="0"/>
        <w:spacing w:after="0" w:line="240" w:lineRule="auto"/>
        <w:ind w:right="140"/>
        <w:jc w:val="both"/>
        <w:rPr>
          <w:rFonts w:ascii="Times New Roman" w:eastAsia="Times New Roman" w:hAnsi="Times New Roman" w:cs="Times New Roman"/>
          <w:sz w:val="28"/>
          <w:szCs w:val="28"/>
          <w:lang w:eastAsia="ru-RU"/>
        </w:rPr>
      </w:pPr>
    </w:p>
    <w:p w:rsidR="00A44FBA" w:rsidRPr="00ED6862" w:rsidRDefault="00A44FBA" w:rsidP="00E00E37">
      <w:pPr>
        <w:widowControl w:val="0"/>
        <w:autoSpaceDE w:val="0"/>
        <w:autoSpaceDN w:val="0"/>
        <w:adjustRightInd w:val="0"/>
        <w:spacing w:after="0" w:line="240" w:lineRule="auto"/>
        <w:ind w:right="140" w:firstLine="709"/>
        <w:jc w:val="both"/>
        <w:rPr>
          <w:rFonts w:ascii="Times New Roman" w:hAnsi="Times New Roman" w:cs="Times New Roman"/>
          <w:sz w:val="28"/>
          <w:szCs w:val="28"/>
        </w:rPr>
      </w:pPr>
      <w:r w:rsidRPr="00ED6862">
        <w:rPr>
          <w:rFonts w:ascii="Times New Roman" w:hAnsi="Times New Roman" w:cs="Times New Roman"/>
          <w:sz w:val="28"/>
          <w:szCs w:val="28"/>
        </w:rPr>
        <w:t xml:space="preserve">Пять ступеней прогрессивной шкалы НДФЛ будут действовать в отношении совокупности всех доходов физического лица - налогового резидента, подлежащих налогообложению, за исключением доходов, облагаемых по налоговым ставкам: </w:t>
      </w:r>
      <w:r w:rsidRPr="00ED6862">
        <w:rPr>
          <w:rFonts w:ascii="Times New Roman" w:hAnsi="Times New Roman" w:cs="Times New Roman"/>
          <w:i/>
          <w:sz w:val="28"/>
          <w:szCs w:val="28"/>
        </w:rPr>
        <w:t>35% - выигрышей и призов, 30% - доходы получаемые нерезидентами РФ, 15% - доходы в виде процентов по вкладам (остаткам на счетах) в банках, 13% - дивидендам, 9% - по облигациям</w:t>
      </w:r>
      <w:r w:rsidRPr="00ED6862">
        <w:rPr>
          <w:rFonts w:ascii="Times New Roman" w:hAnsi="Times New Roman" w:cs="Times New Roman"/>
          <w:sz w:val="28"/>
          <w:szCs w:val="28"/>
        </w:rPr>
        <w:t>.</w:t>
      </w:r>
    </w:p>
    <w:p w:rsidR="00A44FBA" w:rsidRPr="00ED6862" w:rsidRDefault="00A44FBA" w:rsidP="00E00E37">
      <w:pPr>
        <w:autoSpaceDE w:val="0"/>
        <w:autoSpaceDN w:val="0"/>
        <w:adjustRightInd w:val="0"/>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 xml:space="preserve">Прежней останется шкала налогообложения для отдельных видов доходов (в размере 13%), </w:t>
      </w:r>
      <w:r w:rsidRPr="00ED6862">
        <w:rPr>
          <w:rFonts w:ascii="Times New Roman" w:hAnsi="Times New Roman" w:cs="Times New Roman"/>
          <w:i/>
          <w:sz w:val="28"/>
          <w:szCs w:val="28"/>
        </w:rPr>
        <w:t>при этом нормативы отчислений составят в федеральный бюджет 13%, в бюджеты субъектов РФ 87%</w:t>
      </w:r>
      <w:r w:rsidRPr="00ED6862">
        <w:rPr>
          <w:rFonts w:ascii="Times New Roman" w:hAnsi="Times New Roman" w:cs="Times New Roman"/>
          <w:sz w:val="28"/>
          <w:szCs w:val="28"/>
        </w:rPr>
        <w:t>, в данную категорию входят:</w:t>
      </w:r>
    </w:p>
    <w:p w:rsidR="00A44FBA" w:rsidRPr="00ED6862" w:rsidRDefault="00A44FBA" w:rsidP="00E00E37">
      <w:pPr>
        <w:numPr>
          <w:ilvl w:val="0"/>
          <w:numId w:val="32"/>
        </w:numPr>
        <w:tabs>
          <w:tab w:val="left" w:pos="0"/>
          <w:tab w:val="left"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D6862">
        <w:rPr>
          <w:rFonts w:ascii="Times New Roman" w:hAnsi="Times New Roman" w:cs="Times New Roman"/>
          <w:sz w:val="28"/>
          <w:szCs w:val="28"/>
        </w:rPr>
        <w:t>Военнослужащие и сотрудники других силовых структур — на доходы, полученные за участие в Специальной военной операции (СВО), включая денежное довольствие и иные выплаты.</w:t>
      </w:r>
    </w:p>
    <w:p w:rsidR="00A44FBA" w:rsidRPr="00ED6862" w:rsidRDefault="00A44FBA" w:rsidP="00E00E37">
      <w:pPr>
        <w:numPr>
          <w:ilvl w:val="0"/>
          <w:numId w:val="32"/>
        </w:numPr>
        <w:tabs>
          <w:tab w:val="left" w:pos="0"/>
          <w:tab w:val="left"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D6862">
        <w:rPr>
          <w:rFonts w:ascii="Times New Roman" w:hAnsi="Times New Roman" w:cs="Times New Roman"/>
          <w:sz w:val="28"/>
          <w:szCs w:val="28"/>
        </w:rPr>
        <w:t>Граждане, работающие в условиях Крайнего Севера и приравненных к нему территорий, в отношении «северных» надбавок и районных коэффициентов.</w:t>
      </w:r>
    </w:p>
    <w:p w:rsidR="00A44FBA" w:rsidRPr="00ED6862" w:rsidRDefault="00A44FBA" w:rsidP="00E00E37">
      <w:pPr>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i/>
          <w:sz w:val="28"/>
          <w:szCs w:val="28"/>
        </w:rPr>
      </w:pPr>
      <w:r w:rsidRPr="00ED6862">
        <w:rPr>
          <w:rFonts w:ascii="Times New Roman" w:hAnsi="Times New Roman" w:cs="Times New Roman"/>
          <w:sz w:val="28"/>
          <w:szCs w:val="28"/>
        </w:rPr>
        <w:t xml:space="preserve">При этом одновременно будут усилены налоговые меры социальной поддержки, согласно которым запланировано: </w:t>
      </w:r>
    </w:p>
    <w:p w:rsidR="00A44FBA" w:rsidRPr="00ED6862" w:rsidRDefault="00A44FBA" w:rsidP="00E00E37">
      <w:pPr>
        <w:pStyle w:val="a3"/>
        <w:numPr>
          <w:ilvl w:val="0"/>
          <w:numId w:val="33"/>
        </w:numPr>
        <w:tabs>
          <w:tab w:val="left" w:pos="0"/>
        </w:tabs>
        <w:autoSpaceDE w:val="0"/>
        <w:autoSpaceDN w:val="0"/>
        <w:adjustRightInd w:val="0"/>
        <w:ind w:left="0" w:firstLine="709"/>
        <w:jc w:val="both"/>
        <w:rPr>
          <w:sz w:val="28"/>
          <w:szCs w:val="28"/>
        </w:rPr>
      </w:pPr>
      <w:r w:rsidRPr="00ED6862">
        <w:rPr>
          <w:sz w:val="28"/>
          <w:szCs w:val="28"/>
        </w:rPr>
        <w:t xml:space="preserve">введение нового стандартного налогового вычета для лиц, выполнивших нормативы испытаний (тестов) комплекса «Готов к труду и обороне» и прошедших диспансеризацию, в размере 18 000 рублей; </w:t>
      </w:r>
    </w:p>
    <w:p w:rsidR="00A44FBA" w:rsidRPr="00ED6862" w:rsidRDefault="00A44FBA" w:rsidP="00E00E37">
      <w:pPr>
        <w:pStyle w:val="a3"/>
        <w:numPr>
          <w:ilvl w:val="0"/>
          <w:numId w:val="33"/>
        </w:numPr>
        <w:tabs>
          <w:tab w:val="left" w:pos="0"/>
        </w:tabs>
        <w:autoSpaceDE w:val="0"/>
        <w:autoSpaceDN w:val="0"/>
        <w:adjustRightInd w:val="0"/>
        <w:ind w:left="0" w:firstLine="709"/>
        <w:jc w:val="both"/>
        <w:rPr>
          <w:sz w:val="28"/>
          <w:szCs w:val="28"/>
        </w:rPr>
      </w:pPr>
      <w:r w:rsidRPr="00ED6862">
        <w:rPr>
          <w:sz w:val="28"/>
          <w:szCs w:val="28"/>
        </w:rPr>
        <w:t>увеличение предельного размера доходов, до достижения которого применяются стандартные налоговые вычеты на детей, с 350 000 до 450 000 рублей;</w:t>
      </w:r>
    </w:p>
    <w:p w:rsidR="00A44FBA" w:rsidRPr="00ED6862" w:rsidRDefault="00A44FBA" w:rsidP="00E00E37">
      <w:pPr>
        <w:pStyle w:val="a3"/>
        <w:numPr>
          <w:ilvl w:val="0"/>
          <w:numId w:val="33"/>
        </w:numPr>
        <w:tabs>
          <w:tab w:val="left" w:pos="0"/>
        </w:tabs>
        <w:ind w:left="0" w:firstLine="709"/>
        <w:jc w:val="both"/>
        <w:rPr>
          <w:sz w:val="28"/>
          <w:szCs w:val="28"/>
        </w:rPr>
      </w:pPr>
      <w:r w:rsidRPr="00ED6862">
        <w:rPr>
          <w:sz w:val="28"/>
          <w:szCs w:val="28"/>
        </w:rPr>
        <w:t xml:space="preserve">увеличение стандартных налоговых вычетов на детей – вычет на второго ребёнка составит 2 800 рублей </w:t>
      </w:r>
      <w:r w:rsidRPr="00ED6862">
        <w:rPr>
          <w:i/>
          <w:sz w:val="28"/>
          <w:szCs w:val="28"/>
        </w:rPr>
        <w:t>(вместо 1 400 рублей)</w:t>
      </w:r>
      <w:r w:rsidRPr="00ED6862">
        <w:rPr>
          <w:sz w:val="28"/>
          <w:szCs w:val="28"/>
        </w:rPr>
        <w:t xml:space="preserve">, на третьего и каждого последующего – 6 000 рублей </w:t>
      </w:r>
      <w:r w:rsidRPr="00ED6862">
        <w:rPr>
          <w:i/>
          <w:sz w:val="28"/>
          <w:szCs w:val="28"/>
        </w:rPr>
        <w:t>(вместо 3 000 рублей)</w:t>
      </w:r>
      <w:r w:rsidRPr="00ED6862">
        <w:rPr>
          <w:sz w:val="28"/>
          <w:szCs w:val="28"/>
        </w:rPr>
        <w:t xml:space="preserve">. </w:t>
      </w:r>
    </w:p>
    <w:p w:rsidR="00A44FBA" w:rsidRPr="00ED6862" w:rsidRDefault="00A44FBA" w:rsidP="00E00E37">
      <w:pPr>
        <w:pStyle w:val="a3"/>
        <w:numPr>
          <w:ilvl w:val="0"/>
          <w:numId w:val="33"/>
        </w:numPr>
        <w:tabs>
          <w:tab w:val="left" w:pos="0"/>
        </w:tabs>
        <w:ind w:left="0" w:firstLine="709"/>
        <w:jc w:val="both"/>
        <w:rPr>
          <w:sz w:val="28"/>
          <w:szCs w:val="28"/>
        </w:rPr>
      </w:pPr>
      <w:r w:rsidRPr="00ED6862">
        <w:rPr>
          <w:sz w:val="28"/>
          <w:szCs w:val="28"/>
        </w:rPr>
        <w:t>увеличение стандартных налоговых вычетов на каждого ребенка, если ребенок в возрасте до 18 лет является ребенком-инвалидом, с 6 000 до 12 000 рублей. Эта же мера действует для учащихся очной формы обучения, аспирантов, ординаторов, интернов, студентов в возрасте до 24 лет, если они являются инвалидами I или II групп.</w:t>
      </w:r>
    </w:p>
    <w:p w:rsidR="00A44FBA" w:rsidRPr="00ED6862" w:rsidRDefault="00A44FBA" w:rsidP="00E00E37">
      <w:pPr>
        <w:pStyle w:val="a3"/>
        <w:numPr>
          <w:ilvl w:val="0"/>
          <w:numId w:val="32"/>
        </w:numPr>
        <w:tabs>
          <w:tab w:val="left" w:pos="0"/>
        </w:tabs>
        <w:autoSpaceDE w:val="0"/>
        <w:autoSpaceDN w:val="0"/>
        <w:adjustRightInd w:val="0"/>
        <w:ind w:left="0" w:firstLine="567"/>
        <w:jc w:val="both"/>
        <w:rPr>
          <w:sz w:val="28"/>
          <w:szCs w:val="28"/>
        </w:rPr>
      </w:pPr>
      <w:r w:rsidRPr="00ED6862">
        <w:rPr>
          <w:i/>
          <w:sz w:val="28"/>
          <w:szCs w:val="28"/>
        </w:rPr>
        <w:t xml:space="preserve">По налогу, взимаемому в связи с применением упрощенной системы налогообложения (УСН), </w:t>
      </w:r>
      <w:r w:rsidRPr="00ED6862">
        <w:rPr>
          <w:sz w:val="28"/>
          <w:szCs w:val="28"/>
        </w:rPr>
        <w:t xml:space="preserve">в целях создания справедливой, конкурентоспособной и эффективной налоговой системы, стимулирующей развитие малого бизнеса, вносятся следующие изменения: </w:t>
      </w:r>
    </w:p>
    <w:p w:rsidR="00A44FBA" w:rsidRPr="00ED6862" w:rsidRDefault="00A44FBA" w:rsidP="00E00E37">
      <w:pPr>
        <w:pStyle w:val="a3"/>
        <w:numPr>
          <w:ilvl w:val="0"/>
          <w:numId w:val="34"/>
        </w:numPr>
        <w:tabs>
          <w:tab w:val="left" w:pos="0"/>
        </w:tabs>
        <w:autoSpaceDE w:val="0"/>
        <w:autoSpaceDN w:val="0"/>
        <w:adjustRightInd w:val="0"/>
        <w:ind w:left="0" w:firstLine="709"/>
        <w:jc w:val="both"/>
        <w:rPr>
          <w:sz w:val="28"/>
          <w:szCs w:val="28"/>
        </w:rPr>
      </w:pPr>
      <w:r w:rsidRPr="00ED6862">
        <w:rPr>
          <w:sz w:val="28"/>
          <w:szCs w:val="28"/>
        </w:rPr>
        <w:lastRenderedPageBreak/>
        <w:t xml:space="preserve">расширение границ, при которых малый бизнес имеет право применять режим упрощенной системы налогообложения </w:t>
      </w:r>
      <w:r w:rsidRPr="00ED6862">
        <w:rPr>
          <w:i/>
          <w:sz w:val="28"/>
          <w:szCs w:val="28"/>
        </w:rPr>
        <w:t>(лимит для применения УСН увеличен со 150 до 450 млн. рублей, остаточной стоимости основных средств со 150 до 200 млн. рублей с ежегодной индексацией соответствующих величин на коэффициент-дефлятор, при этом на 2025 год коэффициент-дефлятор устанавливается в размере 1)</w:t>
      </w:r>
      <w:r w:rsidRPr="00ED6862">
        <w:rPr>
          <w:sz w:val="28"/>
          <w:szCs w:val="28"/>
        </w:rPr>
        <w:t>;</w:t>
      </w:r>
    </w:p>
    <w:p w:rsidR="00A44FBA" w:rsidRPr="00ED6862" w:rsidRDefault="00A44FBA" w:rsidP="00E00E37">
      <w:pPr>
        <w:pStyle w:val="a3"/>
        <w:numPr>
          <w:ilvl w:val="0"/>
          <w:numId w:val="34"/>
        </w:numPr>
        <w:tabs>
          <w:tab w:val="left" w:pos="0"/>
        </w:tabs>
        <w:autoSpaceDE w:val="0"/>
        <w:autoSpaceDN w:val="0"/>
        <w:adjustRightInd w:val="0"/>
        <w:ind w:left="0" w:firstLine="709"/>
        <w:jc w:val="both"/>
        <w:rPr>
          <w:sz w:val="28"/>
          <w:szCs w:val="28"/>
        </w:rPr>
      </w:pPr>
      <w:r w:rsidRPr="00ED6862">
        <w:rPr>
          <w:sz w:val="28"/>
          <w:szCs w:val="28"/>
        </w:rPr>
        <w:t>увеличение средней численности сотрудников для применения режима УСН со 100 до 130 человек;</w:t>
      </w:r>
    </w:p>
    <w:p w:rsidR="00A44FBA" w:rsidRPr="00ED6862" w:rsidRDefault="00A44FBA" w:rsidP="00E00E37">
      <w:pPr>
        <w:pStyle w:val="a3"/>
        <w:numPr>
          <w:ilvl w:val="0"/>
          <w:numId w:val="34"/>
        </w:numPr>
        <w:tabs>
          <w:tab w:val="left" w:pos="0"/>
        </w:tabs>
        <w:autoSpaceDE w:val="0"/>
        <w:autoSpaceDN w:val="0"/>
        <w:adjustRightInd w:val="0"/>
        <w:ind w:left="0" w:firstLine="709"/>
        <w:jc w:val="both"/>
        <w:rPr>
          <w:sz w:val="28"/>
          <w:szCs w:val="28"/>
        </w:rPr>
      </w:pPr>
      <w:r w:rsidRPr="00ED6862">
        <w:rPr>
          <w:sz w:val="28"/>
          <w:szCs w:val="28"/>
        </w:rPr>
        <w:t xml:space="preserve">введение обязанности уплачивать НДС при повышении порога выручки налогоплательщиков на более 60 млн. рублей в целях создания условий равной конкуренции между разными экономическими субъектами, при этом предусмотрено право выбора между обычной ставкой НДС (20%) либо пониженной 5% </w:t>
      </w:r>
      <w:r w:rsidRPr="00ED6862">
        <w:rPr>
          <w:i/>
          <w:sz w:val="28"/>
          <w:szCs w:val="28"/>
        </w:rPr>
        <w:t>(при доходах от 60 до 250 млн. рублей в год)</w:t>
      </w:r>
      <w:r w:rsidRPr="00ED6862">
        <w:rPr>
          <w:sz w:val="28"/>
          <w:szCs w:val="28"/>
        </w:rPr>
        <w:t xml:space="preserve"> и 7% </w:t>
      </w:r>
      <w:r w:rsidRPr="00ED6862">
        <w:rPr>
          <w:i/>
          <w:sz w:val="28"/>
          <w:szCs w:val="28"/>
        </w:rPr>
        <w:t>(при доходах от 250 до 450 млн. рублей в год)</w:t>
      </w:r>
      <w:r w:rsidRPr="00ED6862">
        <w:rPr>
          <w:sz w:val="28"/>
          <w:szCs w:val="28"/>
        </w:rPr>
        <w:t xml:space="preserve">. </w:t>
      </w:r>
    </w:p>
    <w:p w:rsidR="00A44FBA" w:rsidRPr="00ED6862" w:rsidRDefault="00A44FBA" w:rsidP="00E00E37">
      <w:pPr>
        <w:pStyle w:val="a3"/>
        <w:numPr>
          <w:ilvl w:val="0"/>
          <w:numId w:val="32"/>
        </w:numPr>
        <w:tabs>
          <w:tab w:val="left" w:pos="0"/>
        </w:tabs>
        <w:autoSpaceDE w:val="0"/>
        <w:autoSpaceDN w:val="0"/>
        <w:ind w:left="0" w:right="99" w:firstLine="567"/>
        <w:jc w:val="both"/>
        <w:rPr>
          <w:i/>
          <w:sz w:val="28"/>
          <w:szCs w:val="28"/>
        </w:rPr>
      </w:pPr>
      <w:r w:rsidRPr="00ED6862">
        <w:rPr>
          <w:i/>
          <w:sz w:val="28"/>
          <w:szCs w:val="28"/>
        </w:rPr>
        <w:t xml:space="preserve">По акцизам на нефтепродукты, алкогольную продукцию, этиловый спирт и спиртосодержащую продукцию </w:t>
      </w:r>
      <w:r w:rsidRPr="00ED6862">
        <w:rPr>
          <w:sz w:val="28"/>
          <w:szCs w:val="28"/>
        </w:rPr>
        <w:t>планируется:</w:t>
      </w:r>
    </w:p>
    <w:p w:rsidR="00A44FBA" w:rsidRPr="00ED6862" w:rsidRDefault="00A44FBA" w:rsidP="00E00E37">
      <w:pPr>
        <w:pStyle w:val="a3"/>
        <w:numPr>
          <w:ilvl w:val="0"/>
          <w:numId w:val="35"/>
        </w:numPr>
        <w:tabs>
          <w:tab w:val="left" w:pos="0"/>
        </w:tabs>
        <w:autoSpaceDE w:val="0"/>
        <w:autoSpaceDN w:val="0"/>
        <w:adjustRightInd w:val="0"/>
        <w:ind w:left="0" w:right="-1" w:firstLine="709"/>
        <w:jc w:val="both"/>
        <w:rPr>
          <w:sz w:val="28"/>
          <w:szCs w:val="28"/>
        </w:rPr>
      </w:pPr>
      <w:r w:rsidRPr="00ED6862">
        <w:rPr>
          <w:sz w:val="28"/>
          <w:szCs w:val="28"/>
        </w:rPr>
        <w:t xml:space="preserve">корректировка размеров ставок на 2025-2027 годы по акцизам на нефтепродукты, алкогольную продукцию, этиловый спирт и спиртосодержащую продукцию </w:t>
      </w:r>
      <w:r w:rsidRPr="00ED6862">
        <w:rPr>
          <w:i/>
          <w:sz w:val="28"/>
          <w:szCs w:val="28"/>
        </w:rPr>
        <w:t>(рост ставок в среднем на 4% по сравнению с 2024 годом)</w:t>
      </w:r>
      <w:r w:rsidRPr="00ED6862">
        <w:rPr>
          <w:sz w:val="28"/>
          <w:szCs w:val="28"/>
        </w:rPr>
        <w:t>;</w:t>
      </w:r>
    </w:p>
    <w:p w:rsidR="00A44FBA" w:rsidRPr="00ED6862" w:rsidRDefault="00A44FBA" w:rsidP="00E00E37">
      <w:pPr>
        <w:pStyle w:val="a3"/>
        <w:numPr>
          <w:ilvl w:val="0"/>
          <w:numId w:val="35"/>
        </w:numPr>
        <w:tabs>
          <w:tab w:val="left" w:pos="0"/>
        </w:tabs>
        <w:autoSpaceDE w:val="0"/>
        <w:autoSpaceDN w:val="0"/>
        <w:adjustRightInd w:val="0"/>
        <w:ind w:left="0" w:right="-1" w:firstLine="709"/>
        <w:jc w:val="both"/>
        <w:rPr>
          <w:sz w:val="28"/>
          <w:szCs w:val="28"/>
        </w:rPr>
      </w:pPr>
      <w:r w:rsidRPr="00ED6862">
        <w:rPr>
          <w:sz w:val="28"/>
          <w:szCs w:val="28"/>
        </w:rPr>
        <w:t>продление размера норматива зачисления доходов от акцизов на нефтепродукты в бюджет регионов, который в 2025-2026 годах составит 75%, а в 2027 г. – 88%.</w:t>
      </w:r>
    </w:p>
    <w:p w:rsidR="00A44FBA" w:rsidRPr="00ED6862" w:rsidRDefault="00A44FBA" w:rsidP="00E00E37">
      <w:pPr>
        <w:pStyle w:val="a3"/>
        <w:numPr>
          <w:ilvl w:val="0"/>
          <w:numId w:val="32"/>
        </w:numPr>
        <w:tabs>
          <w:tab w:val="left" w:pos="0"/>
        </w:tabs>
        <w:autoSpaceDE w:val="0"/>
        <w:autoSpaceDN w:val="0"/>
        <w:ind w:left="0" w:right="-1" w:firstLine="709"/>
        <w:jc w:val="both"/>
        <w:rPr>
          <w:sz w:val="28"/>
          <w:szCs w:val="28"/>
        </w:rPr>
      </w:pPr>
      <w:r w:rsidRPr="00ED6862">
        <w:rPr>
          <w:i/>
          <w:sz w:val="28"/>
          <w:szCs w:val="28"/>
        </w:rPr>
        <w:t>По налогу на добычу полезных ископаемых (НДПИ)</w:t>
      </w:r>
      <w:r w:rsidRPr="00ED6862">
        <w:rPr>
          <w:sz w:val="28"/>
          <w:szCs w:val="28"/>
        </w:rPr>
        <w:t xml:space="preserve"> основными изменениями являются:</w:t>
      </w:r>
    </w:p>
    <w:p w:rsidR="00A44FBA" w:rsidRPr="00ED6862" w:rsidRDefault="00A44FBA" w:rsidP="00E00E37">
      <w:pPr>
        <w:pStyle w:val="a3"/>
        <w:numPr>
          <w:ilvl w:val="0"/>
          <w:numId w:val="39"/>
        </w:numPr>
        <w:tabs>
          <w:tab w:val="left" w:pos="0"/>
        </w:tabs>
        <w:autoSpaceDE w:val="0"/>
        <w:autoSpaceDN w:val="0"/>
        <w:ind w:left="0" w:right="-1" w:firstLine="709"/>
        <w:jc w:val="both"/>
        <w:rPr>
          <w:sz w:val="28"/>
          <w:szCs w:val="28"/>
        </w:rPr>
      </w:pPr>
      <w:r w:rsidRPr="00ED6862">
        <w:rPr>
          <w:sz w:val="28"/>
          <w:szCs w:val="28"/>
        </w:rPr>
        <w:t>увеличение налоговой ставки по НДПИ в отношении энергетического угля с учетом введения нового коэффициента К</w:t>
      </w:r>
      <w:r w:rsidRPr="00ED6862">
        <w:rPr>
          <w:sz w:val="28"/>
          <w:szCs w:val="28"/>
          <w:vertAlign w:val="subscript"/>
        </w:rPr>
        <w:t>энрг</w:t>
      </w:r>
      <w:r w:rsidRPr="00ED6862">
        <w:rPr>
          <w:sz w:val="28"/>
          <w:szCs w:val="28"/>
        </w:rPr>
        <w:t>;</w:t>
      </w:r>
    </w:p>
    <w:p w:rsidR="00A44FBA" w:rsidRPr="00ED6862" w:rsidRDefault="00A44FBA" w:rsidP="00E00E37">
      <w:pPr>
        <w:pStyle w:val="a3"/>
        <w:numPr>
          <w:ilvl w:val="0"/>
          <w:numId w:val="35"/>
        </w:numPr>
        <w:tabs>
          <w:tab w:val="left" w:pos="0"/>
        </w:tabs>
        <w:autoSpaceDE w:val="0"/>
        <w:autoSpaceDN w:val="0"/>
        <w:adjustRightInd w:val="0"/>
        <w:ind w:left="0" w:right="-1" w:firstLine="709"/>
        <w:jc w:val="both"/>
        <w:rPr>
          <w:sz w:val="28"/>
          <w:szCs w:val="28"/>
        </w:rPr>
      </w:pPr>
      <w:r w:rsidRPr="00ED6862">
        <w:rPr>
          <w:sz w:val="28"/>
          <w:szCs w:val="28"/>
        </w:rPr>
        <w:t>изменение Порядка определения и применения коэффициента К</w:t>
      </w:r>
      <w:r w:rsidRPr="00ED6862">
        <w:rPr>
          <w:sz w:val="28"/>
          <w:szCs w:val="28"/>
          <w:vertAlign w:val="subscript"/>
        </w:rPr>
        <w:t>уг</w:t>
      </w:r>
      <w:r w:rsidRPr="00ED6862">
        <w:rPr>
          <w:sz w:val="28"/>
          <w:szCs w:val="28"/>
        </w:rPr>
        <w:t xml:space="preserve"> в целях увеличения налоговой ставки по коксующему углю.</w:t>
      </w:r>
    </w:p>
    <w:p w:rsidR="00A44FBA" w:rsidRPr="00ED6862" w:rsidRDefault="00A44FBA" w:rsidP="00E00E37">
      <w:pPr>
        <w:pStyle w:val="a3"/>
        <w:numPr>
          <w:ilvl w:val="0"/>
          <w:numId w:val="32"/>
        </w:numPr>
        <w:tabs>
          <w:tab w:val="left" w:pos="0"/>
        </w:tabs>
        <w:autoSpaceDE w:val="0"/>
        <w:autoSpaceDN w:val="0"/>
        <w:ind w:left="0" w:right="99" w:firstLine="709"/>
        <w:jc w:val="both"/>
        <w:rPr>
          <w:i/>
          <w:sz w:val="28"/>
          <w:szCs w:val="28"/>
        </w:rPr>
      </w:pPr>
      <w:r w:rsidRPr="00ED6862">
        <w:rPr>
          <w:i/>
          <w:sz w:val="28"/>
          <w:szCs w:val="28"/>
        </w:rPr>
        <w:t>По налогу на имущество организаций</w:t>
      </w:r>
      <w:r w:rsidRPr="00ED6862">
        <w:rPr>
          <w:sz w:val="28"/>
          <w:szCs w:val="28"/>
        </w:rPr>
        <w:t xml:space="preserve"> введены следующие нововведения:</w:t>
      </w:r>
    </w:p>
    <w:p w:rsidR="00A44FBA" w:rsidRPr="00ED6862" w:rsidRDefault="00A44FBA" w:rsidP="00E00E37">
      <w:pPr>
        <w:pStyle w:val="a3"/>
        <w:numPr>
          <w:ilvl w:val="0"/>
          <w:numId w:val="35"/>
        </w:numPr>
        <w:ind w:left="0" w:firstLine="709"/>
        <w:jc w:val="both"/>
        <w:rPr>
          <w:rFonts w:eastAsia="Times New Roman"/>
          <w:sz w:val="28"/>
          <w:szCs w:val="28"/>
          <w:lang w:eastAsia="ru-RU"/>
        </w:rPr>
      </w:pPr>
      <w:r w:rsidRPr="00ED6862">
        <w:rPr>
          <w:rFonts w:eastAsia="Times New Roman"/>
          <w:sz w:val="28"/>
          <w:szCs w:val="28"/>
          <w:lang w:eastAsia="ru-RU"/>
        </w:rPr>
        <w:t>субъектам Российской Федерации предоставляется право устанавливать ставки по налогу на имущество организаций с кадастровой стоимостью свыше 300 млн. рублей до 2,5%;</w:t>
      </w:r>
    </w:p>
    <w:p w:rsidR="00A44FBA" w:rsidRPr="00ED6862" w:rsidRDefault="00A44FBA" w:rsidP="00E00E37">
      <w:pPr>
        <w:pStyle w:val="a3"/>
        <w:numPr>
          <w:ilvl w:val="0"/>
          <w:numId w:val="35"/>
        </w:numPr>
        <w:shd w:val="clear" w:color="auto" w:fill="FFFFFF"/>
        <w:autoSpaceDE w:val="0"/>
        <w:autoSpaceDN w:val="0"/>
        <w:adjustRightInd w:val="0"/>
        <w:ind w:left="0" w:firstLine="709"/>
        <w:jc w:val="both"/>
        <w:textAlignment w:val="baseline"/>
        <w:rPr>
          <w:sz w:val="28"/>
          <w:szCs w:val="28"/>
        </w:rPr>
      </w:pPr>
      <w:r w:rsidRPr="00ED6862">
        <w:rPr>
          <w:sz w:val="28"/>
          <w:szCs w:val="28"/>
        </w:rPr>
        <w:t>установление налоговой льготы в виде освобождения от уплаты налога на имущество организаций в отношении линий электропередачи, трансформаторных и иных подстанций, распределительных пунктов классом напряжения до 35 кВ включительно, а также предназначенного для обеспечения электрических связей и осуществления передачи электрической энергии оборудования вне зависимости от класса напряжения указанного оборудования.</w:t>
      </w:r>
    </w:p>
    <w:p w:rsidR="00A44FBA" w:rsidRPr="00ED6862" w:rsidRDefault="00A44FBA" w:rsidP="00E00E37">
      <w:pPr>
        <w:pStyle w:val="a3"/>
        <w:tabs>
          <w:tab w:val="left" w:pos="0"/>
        </w:tabs>
        <w:autoSpaceDE w:val="0"/>
        <w:autoSpaceDN w:val="0"/>
        <w:ind w:left="0" w:right="99" w:firstLine="709"/>
        <w:jc w:val="both"/>
        <w:rPr>
          <w:sz w:val="28"/>
          <w:szCs w:val="28"/>
        </w:rPr>
      </w:pPr>
      <w:r w:rsidRPr="00ED6862">
        <w:rPr>
          <w:sz w:val="28"/>
          <w:szCs w:val="28"/>
        </w:rPr>
        <w:t xml:space="preserve">Воспользоваться налоговой льготой в Республике Тыва может единственная территориальная сетевая организация – АО «Россети Сибирь Тываэнерго» при условии принятия на баланс организации бесхозяйные сети на </w:t>
      </w:r>
      <w:r w:rsidRPr="00ED6862">
        <w:rPr>
          <w:sz w:val="28"/>
          <w:szCs w:val="28"/>
        </w:rPr>
        <w:lastRenderedPageBreak/>
        <w:t>территории республики и ежегодного направления суммы выпадающих доходов бюджета на проведение ремонтных работ на данных сетях.</w:t>
      </w:r>
    </w:p>
    <w:p w:rsidR="00A44FBA" w:rsidRPr="00ED6862" w:rsidRDefault="00A44FBA" w:rsidP="00E00E37">
      <w:pPr>
        <w:pStyle w:val="a3"/>
        <w:numPr>
          <w:ilvl w:val="0"/>
          <w:numId w:val="32"/>
        </w:numPr>
        <w:tabs>
          <w:tab w:val="left" w:pos="0"/>
        </w:tabs>
        <w:autoSpaceDE w:val="0"/>
        <w:autoSpaceDN w:val="0"/>
        <w:ind w:left="0" w:right="99" w:firstLine="709"/>
        <w:jc w:val="both"/>
        <w:rPr>
          <w:i/>
          <w:sz w:val="28"/>
          <w:szCs w:val="28"/>
        </w:rPr>
      </w:pPr>
      <w:r w:rsidRPr="00ED6862">
        <w:rPr>
          <w:i/>
          <w:sz w:val="28"/>
          <w:szCs w:val="28"/>
        </w:rPr>
        <w:t xml:space="preserve">По земельному налогу </w:t>
      </w:r>
      <w:r w:rsidRPr="00ED6862">
        <w:rPr>
          <w:sz w:val="28"/>
          <w:szCs w:val="28"/>
        </w:rPr>
        <w:t>с 2025 года</w:t>
      </w:r>
      <w:r w:rsidRPr="00ED6862">
        <w:rPr>
          <w:i/>
          <w:sz w:val="28"/>
          <w:szCs w:val="28"/>
        </w:rPr>
        <w:t xml:space="preserve"> </w:t>
      </w:r>
      <w:r w:rsidRPr="00ED6862">
        <w:rPr>
          <w:sz w:val="28"/>
          <w:szCs w:val="28"/>
        </w:rPr>
        <w:t xml:space="preserve">органам местного самоуправления предоставляется право установления ставки земельного налога в размере 1,5% </w:t>
      </w:r>
      <w:r w:rsidRPr="00ED6862">
        <w:rPr>
          <w:i/>
          <w:sz w:val="28"/>
          <w:szCs w:val="28"/>
        </w:rPr>
        <w:t>(что в 5 раз больше действующей ставки 0,3%)</w:t>
      </w:r>
      <w:r w:rsidRPr="00ED6862">
        <w:rPr>
          <w:sz w:val="28"/>
          <w:szCs w:val="28"/>
        </w:rPr>
        <w:t xml:space="preserve"> в отношении земельных участков, занятых жилищным фондом и (или) объектами инженерной инфраструктуры жилищно-коммунального комплекса или приобретенных (предоставленных) для жилищного строительства, а также не используемых в предпринимательской деятельности участки, приобретенные (предоставленные) для ведения личного подсобного хозяйства, садоводства или огородничества, кадастровая стоимость которых превышает 300 млн. рублей.</w:t>
      </w:r>
    </w:p>
    <w:p w:rsidR="00A44FBA" w:rsidRPr="00ED6862" w:rsidRDefault="00A44FBA" w:rsidP="00E00E37">
      <w:pPr>
        <w:pStyle w:val="a3"/>
        <w:tabs>
          <w:tab w:val="left" w:pos="0"/>
        </w:tabs>
        <w:autoSpaceDE w:val="0"/>
        <w:autoSpaceDN w:val="0"/>
        <w:ind w:left="0" w:right="99" w:firstLine="709"/>
        <w:jc w:val="both"/>
        <w:rPr>
          <w:sz w:val="28"/>
          <w:szCs w:val="28"/>
        </w:rPr>
      </w:pPr>
      <w:r w:rsidRPr="00ED6862">
        <w:rPr>
          <w:sz w:val="28"/>
          <w:szCs w:val="28"/>
        </w:rPr>
        <w:t>При этом пониженная ставка 0,3 % сохранится независимо от цены для участков сельскохозяйственного назначения и земель, которые входят в зоны сельскохозяйственного использования населенных пунктов, а также предоставленных для обеспечения обороны, безопасности, таможенных нужд и ограниченных в обороте.</w:t>
      </w:r>
    </w:p>
    <w:p w:rsidR="00A44FBA" w:rsidRPr="00ED6862" w:rsidRDefault="00A44FBA" w:rsidP="00E00E37">
      <w:pPr>
        <w:pStyle w:val="a3"/>
        <w:numPr>
          <w:ilvl w:val="0"/>
          <w:numId w:val="32"/>
        </w:numPr>
        <w:tabs>
          <w:tab w:val="left" w:pos="0"/>
        </w:tabs>
        <w:autoSpaceDE w:val="0"/>
        <w:autoSpaceDN w:val="0"/>
        <w:ind w:left="0" w:right="99" w:firstLine="709"/>
        <w:jc w:val="both"/>
        <w:rPr>
          <w:i/>
          <w:sz w:val="28"/>
          <w:szCs w:val="28"/>
        </w:rPr>
      </w:pPr>
      <w:r w:rsidRPr="00ED6862">
        <w:rPr>
          <w:i/>
          <w:sz w:val="28"/>
          <w:szCs w:val="28"/>
        </w:rPr>
        <w:t xml:space="preserve">По государственной пошлине </w:t>
      </w:r>
      <w:r w:rsidRPr="00ED6862">
        <w:rPr>
          <w:sz w:val="28"/>
          <w:szCs w:val="28"/>
        </w:rPr>
        <w:t>запланировано:</w:t>
      </w:r>
    </w:p>
    <w:p w:rsidR="00A44FBA" w:rsidRPr="00ED6862" w:rsidRDefault="00A44FBA" w:rsidP="00E00E37">
      <w:pPr>
        <w:pStyle w:val="a3"/>
        <w:numPr>
          <w:ilvl w:val="0"/>
          <w:numId w:val="35"/>
        </w:numPr>
        <w:tabs>
          <w:tab w:val="left" w:pos="0"/>
        </w:tabs>
        <w:autoSpaceDE w:val="0"/>
        <w:autoSpaceDN w:val="0"/>
        <w:adjustRightInd w:val="0"/>
        <w:ind w:left="0" w:right="-1" w:firstLine="709"/>
        <w:jc w:val="both"/>
        <w:rPr>
          <w:sz w:val="28"/>
          <w:szCs w:val="28"/>
        </w:rPr>
      </w:pPr>
      <w:r w:rsidRPr="00ED6862">
        <w:rPr>
          <w:sz w:val="28"/>
          <w:szCs w:val="28"/>
        </w:rPr>
        <w:t xml:space="preserve">увеличение размеров действующих государственных пошлин </w:t>
      </w:r>
      <w:r w:rsidRPr="00ED6862">
        <w:rPr>
          <w:i/>
          <w:sz w:val="28"/>
          <w:szCs w:val="28"/>
        </w:rPr>
        <w:t>(вырастут пошлины за расторжение брака с 650 до 5 000 рублей с каждого из супругов, смену имени с 1 600 до 5 000 рублей, государственная регистрация собственности на земельный участок для подсобного хозяйства с 350 до 700 рублей и т.д.)</w:t>
      </w:r>
      <w:r w:rsidRPr="00ED6862">
        <w:rPr>
          <w:sz w:val="28"/>
          <w:szCs w:val="28"/>
        </w:rPr>
        <w:t>;</w:t>
      </w:r>
    </w:p>
    <w:p w:rsidR="00A44FBA" w:rsidRPr="00ED6862" w:rsidRDefault="00A44FBA" w:rsidP="00E00E37">
      <w:pPr>
        <w:pStyle w:val="a3"/>
        <w:numPr>
          <w:ilvl w:val="0"/>
          <w:numId w:val="35"/>
        </w:numPr>
        <w:tabs>
          <w:tab w:val="left" w:pos="0"/>
        </w:tabs>
        <w:autoSpaceDE w:val="0"/>
        <w:autoSpaceDN w:val="0"/>
        <w:adjustRightInd w:val="0"/>
        <w:ind w:left="0" w:right="-1" w:firstLine="709"/>
        <w:jc w:val="both"/>
        <w:rPr>
          <w:sz w:val="28"/>
          <w:szCs w:val="28"/>
        </w:rPr>
      </w:pPr>
      <w:r w:rsidRPr="00ED6862">
        <w:rPr>
          <w:sz w:val="28"/>
          <w:szCs w:val="28"/>
        </w:rPr>
        <w:t xml:space="preserve">увеличение размера пошлины за регистрацию прав и сделок с дорогой недвижимостью в зависимости от кадастровой стоимости и вида платежа </w:t>
      </w:r>
      <w:r w:rsidRPr="00ED6862">
        <w:rPr>
          <w:i/>
          <w:sz w:val="28"/>
          <w:szCs w:val="28"/>
        </w:rPr>
        <w:t>(для организаций по недвижимости с кадастровой стоимостью свыше 22 млн. рублей – 0,2% кадастровой стоимости, но не более 1 млн. рублей, для физических – 0,02% кадастровой стоимости, но не более 500 тыс. рублей)</w:t>
      </w:r>
      <w:r w:rsidRPr="00ED6862">
        <w:rPr>
          <w:sz w:val="28"/>
          <w:szCs w:val="28"/>
        </w:rPr>
        <w:t xml:space="preserve">; </w:t>
      </w:r>
    </w:p>
    <w:p w:rsidR="00A44FBA" w:rsidRPr="00ED6862" w:rsidRDefault="00A44FBA" w:rsidP="00E00E37">
      <w:pPr>
        <w:pStyle w:val="a3"/>
        <w:numPr>
          <w:ilvl w:val="0"/>
          <w:numId w:val="35"/>
        </w:numPr>
        <w:tabs>
          <w:tab w:val="left" w:pos="0"/>
        </w:tabs>
        <w:autoSpaceDE w:val="0"/>
        <w:autoSpaceDN w:val="0"/>
        <w:adjustRightInd w:val="0"/>
        <w:ind w:left="0" w:right="-1" w:firstLine="709"/>
        <w:jc w:val="both"/>
        <w:rPr>
          <w:sz w:val="28"/>
          <w:szCs w:val="28"/>
        </w:rPr>
      </w:pPr>
      <w:r w:rsidRPr="00ED6862">
        <w:rPr>
          <w:sz w:val="28"/>
          <w:szCs w:val="28"/>
        </w:rPr>
        <w:t xml:space="preserve">по регистрации прав и сделок с дорогой недвижимостью размер платежа будет зависеть от кадастровой стоимости и вида плательщика </w:t>
      </w:r>
      <w:r w:rsidRPr="00ED6862">
        <w:rPr>
          <w:i/>
          <w:sz w:val="28"/>
          <w:szCs w:val="28"/>
        </w:rPr>
        <w:t>(ставка 0,2% для организаций действует при покупке недвижимости дороже 22 млн. рублей, для физлиц — 0,02% для недвижимости дороже 20 млн. рублей)</w:t>
      </w:r>
      <w:r w:rsidRPr="00ED6862">
        <w:rPr>
          <w:sz w:val="28"/>
          <w:szCs w:val="28"/>
        </w:rPr>
        <w:t>.</w:t>
      </w:r>
    </w:p>
    <w:p w:rsidR="00A44FBA" w:rsidRPr="00ED6862" w:rsidRDefault="00A44FBA" w:rsidP="00E00E37">
      <w:pPr>
        <w:pStyle w:val="a3"/>
        <w:numPr>
          <w:ilvl w:val="0"/>
          <w:numId w:val="32"/>
        </w:numPr>
        <w:tabs>
          <w:tab w:val="left" w:pos="0"/>
        </w:tabs>
        <w:autoSpaceDE w:val="0"/>
        <w:autoSpaceDN w:val="0"/>
        <w:adjustRightInd w:val="0"/>
        <w:ind w:left="0" w:right="-1" w:firstLine="709"/>
        <w:jc w:val="both"/>
        <w:rPr>
          <w:i/>
          <w:sz w:val="28"/>
          <w:szCs w:val="28"/>
        </w:rPr>
      </w:pPr>
      <w:r w:rsidRPr="00ED6862">
        <w:rPr>
          <w:i/>
          <w:sz w:val="28"/>
          <w:szCs w:val="28"/>
        </w:rPr>
        <w:t>По туристическому налогу:</w:t>
      </w:r>
    </w:p>
    <w:p w:rsidR="00A44FBA" w:rsidRPr="00ED6862" w:rsidRDefault="00A44FBA" w:rsidP="00E00E37">
      <w:pPr>
        <w:pStyle w:val="a3"/>
        <w:tabs>
          <w:tab w:val="left" w:pos="0"/>
        </w:tabs>
        <w:autoSpaceDE w:val="0"/>
        <w:autoSpaceDN w:val="0"/>
        <w:adjustRightInd w:val="0"/>
        <w:ind w:left="0" w:right="-1" w:firstLine="709"/>
        <w:jc w:val="both"/>
        <w:rPr>
          <w:sz w:val="28"/>
          <w:szCs w:val="28"/>
        </w:rPr>
      </w:pPr>
      <w:r w:rsidRPr="00ED6862">
        <w:rPr>
          <w:sz w:val="28"/>
          <w:szCs w:val="28"/>
        </w:rPr>
        <w:t xml:space="preserve">С 01 января 2025 года на территории Российской Федерации вводится новый туристический налог, который будет уплачиваться организациями и физическими лицами, владеющими средствами размещения </w:t>
      </w:r>
      <w:r w:rsidRPr="00ED6862">
        <w:rPr>
          <w:i/>
          <w:sz w:val="28"/>
          <w:szCs w:val="28"/>
        </w:rPr>
        <w:t>(включенными в реестр классифицированных средств размещения)</w:t>
      </w:r>
      <w:r w:rsidRPr="00ED6862">
        <w:rPr>
          <w:sz w:val="28"/>
          <w:szCs w:val="28"/>
        </w:rPr>
        <w:t xml:space="preserve"> и предоставляющими их для временного проживания физических лиц.</w:t>
      </w:r>
    </w:p>
    <w:p w:rsidR="00A44FBA" w:rsidRPr="00ED6862" w:rsidRDefault="00A44FBA" w:rsidP="00E00E37">
      <w:pPr>
        <w:pStyle w:val="a3"/>
        <w:tabs>
          <w:tab w:val="left" w:pos="0"/>
        </w:tabs>
        <w:autoSpaceDE w:val="0"/>
        <w:autoSpaceDN w:val="0"/>
        <w:adjustRightInd w:val="0"/>
        <w:ind w:left="0" w:right="-1" w:firstLine="709"/>
        <w:jc w:val="both"/>
        <w:rPr>
          <w:sz w:val="28"/>
          <w:szCs w:val="28"/>
        </w:rPr>
      </w:pPr>
      <w:r w:rsidRPr="00ED6862">
        <w:rPr>
          <w:sz w:val="28"/>
          <w:szCs w:val="28"/>
        </w:rPr>
        <w:t xml:space="preserve">Туристический налог будет поступать в местный бюджет и исчисляется со стоимости услуг по проживанию. В соответствии с Налоговым кодексом (ст. 418.5) размер ставок установлены следующим образом: </w:t>
      </w:r>
      <w:r w:rsidRPr="00ED6862">
        <w:rPr>
          <w:i/>
          <w:sz w:val="28"/>
          <w:szCs w:val="28"/>
        </w:rPr>
        <w:t>в 2025 г. - 1%, 2026 г. - 2%, 2027 г. - 3%, 2028 г. - 4%, 2029 г. и далее - 5%</w:t>
      </w:r>
      <w:r w:rsidRPr="00ED6862">
        <w:rPr>
          <w:sz w:val="28"/>
          <w:szCs w:val="28"/>
        </w:rPr>
        <w:t>. Ставки могут различаться в зависимости от сезона и (или) категории объекта размещения.</w:t>
      </w:r>
    </w:p>
    <w:p w:rsidR="00A44FBA" w:rsidRPr="00ED6862" w:rsidRDefault="00A44FBA" w:rsidP="00E00E37">
      <w:pPr>
        <w:pStyle w:val="a3"/>
        <w:tabs>
          <w:tab w:val="left" w:pos="0"/>
        </w:tabs>
        <w:autoSpaceDE w:val="0"/>
        <w:autoSpaceDN w:val="0"/>
        <w:adjustRightInd w:val="0"/>
        <w:ind w:left="0" w:right="-1" w:firstLine="709"/>
        <w:jc w:val="both"/>
        <w:rPr>
          <w:sz w:val="28"/>
          <w:szCs w:val="28"/>
        </w:rPr>
      </w:pPr>
      <w:r w:rsidRPr="00ED6862">
        <w:rPr>
          <w:sz w:val="28"/>
          <w:szCs w:val="28"/>
        </w:rPr>
        <w:lastRenderedPageBreak/>
        <w:t xml:space="preserve">Решение о введении туристического налога на территории муниципального образования, размерах налоговых ставок </w:t>
      </w:r>
      <w:r w:rsidRPr="00ED6862">
        <w:rPr>
          <w:i/>
          <w:sz w:val="28"/>
          <w:szCs w:val="28"/>
        </w:rPr>
        <w:t>(в пределах максимальных ставок, установленных Налоговым кодексом Российской Федерации)</w:t>
      </w:r>
      <w:r w:rsidRPr="00ED6862">
        <w:rPr>
          <w:sz w:val="28"/>
          <w:szCs w:val="28"/>
        </w:rPr>
        <w:t xml:space="preserve"> и установлении дополнительных налоговых льгот органы местного самоуправления будут принимать самостоятельно.</w:t>
      </w:r>
    </w:p>
    <w:p w:rsidR="00A44FBA" w:rsidRPr="00ED6862" w:rsidRDefault="00A44FBA" w:rsidP="00E00E37">
      <w:pPr>
        <w:pStyle w:val="a3"/>
        <w:tabs>
          <w:tab w:val="left" w:pos="0"/>
        </w:tabs>
        <w:autoSpaceDE w:val="0"/>
        <w:autoSpaceDN w:val="0"/>
        <w:adjustRightInd w:val="0"/>
        <w:ind w:left="0" w:right="-1" w:firstLine="709"/>
        <w:jc w:val="both"/>
        <w:rPr>
          <w:sz w:val="28"/>
          <w:szCs w:val="28"/>
        </w:rPr>
      </w:pPr>
    </w:p>
    <w:p w:rsidR="00A44FBA" w:rsidRPr="00ED6862" w:rsidRDefault="00A44FBA" w:rsidP="00E00E37">
      <w:pPr>
        <w:pStyle w:val="a3"/>
        <w:tabs>
          <w:tab w:val="left" w:pos="0"/>
        </w:tabs>
        <w:suppressAutoHyphens/>
        <w:ind w:left="0" w:firstLine="709"/>
        <w:jc w:val="both"/>
        <w:rPr>
          <w:i/>
          <w:sz w:val="28"/>
          <w:szCs w:val="28"/>
        </w:rPr>
      </w:pPr>
      <w:r w:rsidRPr="00ED6862">
        <w:rPr>
          <w:i/>
          <w:sz w:val="28"/>
          <w:szCs w:val="28"/>
        </w:rPr>
        <w:t>Совершенствование администрирования доходов.</w:t>
      </w:r>
    </w:p>
    <w:p w:rsidR="00A44FBA" w:rsidRPr="00ED6862" w:rsidRDefault="00A44FBA" w:rsidP="00E00E37">
      <w:pPr>
        <w:tabs>
          <w:tab w:val="left" w:pos="0"/>
        </w:tabs>
        <w:suppressAutoHyphens/>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Продолж</w:t>
      </w:r>
      <w:r w:rsidR="00617016" w:rsidRPr="00ED6862">
        <w:rPr>
          <w:rFonts w:ascii="Times New Roman" w:eastAsia="Calibri" w:hAnsi="Times New Roman" w:cs="Times New Roman"/>
          <w:sz w:val="28"/>
          <w:szCs w:val="28"/>
        </w:rPr>
        <w:t>ается</w:t>
      </w:r>
      <w:r w:rsidRPr="00ED6862">
        <w:rPr>
          <w:rFonts w:ascii="Times New Roman" w:eastAsia="Calibri" w:hAnsi="Times New Roman" w:cs="Times New Roman"/>
          <w:sz w:val="28"/>
          <w:szCs w:val="28"/>
        </w:rPr>
        <w:t xml:space="preserve"> работа по созданию прозрачной системы администрирования и прогнозирования доходов всех бюджетов:</w:t>
      </w:r>
    </w:p>
    <w:p w:rsidR="00A44FBA" w:rsidRPr="00ED6862" w:rsidRDefault="00A44FBA" w:rsidP="00E00E37">
      <w:pPr>
        <w:pStyle w:val="a3"/>
        <w:numPr>
          <w:ilvl w:val="0"/>
          <w:numId w:val="36"/>
        </w:numPr>
        <w:tabs>
          <w:tab w:val="left" w:pos="0"/>
        </w:tabs>
        <w:suppressAutoHyphens/>
        <w:ind w:left="0" w:firstLine="709"/>
        <w:jc w:val="both"/>
        <w:rPr>
          <w:sz w:val="28"/>
          <w:szCs w:val="28"/>
        </w:rPr>
      </w:pPr>
      <w:r w:rsidRPr="00ED6862">
        <w:rPr>
          <w:sz w:val="28"/>
          <w:szCs w:val="28"/>
        </w:rPr>
        <w:t>сформирована нормативно-правовая база по переходу администрирования и прогнозирования доходов к электронной «реестровой» системе;</w:t>
      </w:r>
    </w:p>
    <w:p w:rsidR="00A44FBA" w:rsidRPr="00ED6862" w:rsidRDefault="00A44FBA" w:rsidP="00E00E37">
      <w:pPr>
        <w:pStyle w:val="a3"/>
        <w:numPr>
          <w:ilvl w:val="0"/>
          <w:numId w:val="36"/>
        </w:numPr>
        <w:tabs>
          <w:tab w:val="left" w:pos="0"/>
        </w:tabs>
        <w:suppressAutoHyphens/>
        <w:ind w:left="0" w:firstLine="709"/>
        <w:jc w:val="both"/>
        <w:rPr>
          <w:sz w:val="28"/>
          <w:szCs w:val="28"/>
        </w:rPr>
      </w:pPr>
      <w:r w:rsidRPr="00ED6862">
        <w:rPr>
          <w:sz w:val="28"/>
          <w:szCs w:val="28"/>
        </w:rPr>
        <w:t>доработан перечень источников доходов в ГИИС «Электронный бюджет», предусматривающий упрощение состава и структуры информации о доходах, исключение двойного ввода, оперативную актуализацию;</w:t>
      </w:r>
    </w:p>
    <w:p w:rsidR="00A44FBA" w:rsidRPr="00ED6862" w:rsidRDefault="00A44FBA" w:rsidP="00E00E37">
      <w:pPr>
        <w:pStyle w:val="a3"/>
        <w:numPr>
          <w:ilvl w:val="0"/>
          <w:numId w:val="36"/>
        </w:numPr>
        <w:tabs>
          <w:tab w:val="left" w:pos="0"/>
        </w:tabs>
        <w:suppressAutoHyphens/>
        <w:ind w:left="0" w:firstLine="709"/>
        <w:jc w:val="both"/>
        <w:rPr>
          <w:sz w:val="28"/>
          <w:szCs w:val="28"/>
        </w:rPr>
      </w:pPr>
      <w:r w:rsidRPr="00ED6862">
        <w:rPr>
          <w:sz w:val="28"/>
          <w:szCs w:val="28"/>
        </w:rPr>
        <w:t>расширен автоматизированный обмен информацией с ключевыми главными администраторами доходов, обеспечен регулярный анализ рисков исполнения бюджетов по доходам.</w:t>
      </w:r>
    </w:p>
    <w:p w:rsidR="00A44FBA" w:rsidRPr="00ED6862" w:rsidRDefault="00A44FBA" w:rsidP="00E00E37">
      <w:pPr>
        <w:tabs>
          <w:tab w:val="left" w:pos="0"/>
        </w:tabs>
        <w:suppressAutoHyphens/>
        <w:spacing w:after="0" w:line="240" w:lineRule="auto"/>
        <w:ind w:firstLine="709"/>
        <w:jc w:val="both"/>
        <w:rPr>
          <w:rFonts w:ascii="Times New Roman" w:hAnsi="Times New Roman" w:cs="Times New Roman"/>
          <w:sz w:val="28"/>
          <w:szCs w:val="28"/>
        </w:rPr>
      </w:pP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 xml:space="preserve">На </w:t>
      </w:r>
      <w:r w:rsidRPr="00ED6862">
        <w:rPr>
          <w:rFonts w:ascii="Times New Roman" w:hAnsi="Times New Roman" w:cs="Times New Roman"/>
          <w:b/>
          <w:sz w:val="28"/>
          <w:szCs w:val="28"/>
        </w:rPr>
        <w:t>региональном уровне</w:t>
      </w:r>
      <w:r w:rsidRPr="00ED6862">
        <w:rPr>
          <w:rFonts w:ascii="Times New Roman" w:hAnsi="Times New Roman" w:cs="Times New Roman"/>
          <w:sz w:val="28"/>
          <w:szCs w:val="28"/>
        </w:rPr>
        <w:t xml:space="preserve"> вносятся следующие изменения законодательства:</w:t>
      </w:r>
    </w:p>
    <w:p w:rsidR="00A44FBA" w:rsidRPr="00ED6862" w:rsidRDefault="00A44FBA"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В целях совершенствования налоговой политики Республики Тыва с учетом изменений федерального законодательства и на основе опыта других регионов Российской Федерации с 1 января 2025 года в единые нормативы отчислений от федеральных, региональных налогов и налогов, предусмотренных специальными налоговыми режимами, в бюджеты городских округов вносятся следующие изменения:</w:t>
      </w:r>
    </w:p>
    <w:p w:rsidR="00366026" w:rsidRPr="00ED6862" w:rsidRDefault="00366026" w:rsidP="00E00E37">
      <w:pPr>
        <w:pStyle w:val="a3"/>
        <w:numPr>
          <w:ilvl w:val="0"/>
          <w:numId w:val="40"/>
        </w:numPr>
        <w:suppressAutoHyphens/>
        <w:ind w:left="0" w:firstLine="709"/>
        <w:jc w:val="both"/>
        <w:rPr>
          <w:sz w:val="28"/>
          <w:szCs w:val="28"/>
        </w:rPr>
      </w:pPr>
      <w:r w:rsidRPr="00ED6862">
        <w:rPr>
          <w:i/>
          <w:sz w:val="28"/>
          <w:szCs w:val="28"/>
        </w:rPr>
        <w:t>По налогу на доходы физических лиц (НДФЛ)</w:t>
      </w:r>
      <w:r w:rsidRPr="00ED6862">
        <w:rPr>
          <w:sz w:val="28"/>
          <w:szCs w:val="28"/>
        </w:rPr>
        <w:t xml:space="preserve"> отменяется единый дополнительный норматив отчисления от НДФЛ в бюджеты городских округов в размере 5%, подлежащий зачислению в соответствии с Бюджетным кодексом в республиканский бюджет Республики Тыва.</w:t>
      </w:r>
    </w:p>
    <w:p w:rsidR="00366026" w:rsidRPr="00ED6862" w:rsidRDefault="00366026"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Данный дополнительный норматив установлен начиная с 2014 года в целях доведения до минимального уровня норматив отчислений от НДФЛ в местные бюджеты.</w:t>
      </w:r>
    </w:p>
    <w:p w:rsidR="00366026" w:rsidRPr="00ED6862" w:rsidRDefault="00366026"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В соответствии со ст. 61.2 БК РФ установленный норматив отчислений от НДФЛ в бюджеты городских округов составляет 15%, при этом с 2012 по 2013 годы субъект был обязан установить единый дополнительный норматив от НДФЛ в местные бюджеты не менее 20%, в связи с чем, принято решение начиная с 1 января 2014 года передать норматив отчислений в размере 5% в бюджеты городских округов.</w:t>
      </w:r>
    </w:p>
    <w:p w:rsidR="00366026" w:rsidRPr="00ED6862" w:rsidRDefault="00366026"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 xml:space="preserve">Согласно действующему закону органы государственной власти субъекта обязаны установить единый норматив отчислений от НДФЛ в бюджеты городских округов не менее 15%, а республикой на сегодняшний день в </w:t>
      </w:r>
      <w:r w:rsidRPr="00ED6862">
        <w:rPr>
          <w:rFonts w:ascii="Times New Roman" w:hAnsi="Times New Roman" w:cs="Times New Roman"/>
          <w:sz w:val="28"/>
          <w:szCs w:val="28"/>
        </w:rPr>
        <w:lastRenderedPageBreak/>
        <w:t>отношении бюджетов городских округов установлено 20%, что свидетельствует об исполнении обязательств регионом.</w:t>
      </w:r>
    </w:p>
    <w:p w:rsidR="00366026" w:rsidRPr="00ED6862" w:rsidRDefault="00366026"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Учитывая бюджетную нагрузку республиканского бюджета Республики Тыва в части обеспечения источниками финансирования первоочередных и социально-значимых расходов бюджета предлагается отменить единый дополнительный норматив от НДФЛ в бюджеты городских округов в размере 5%, подлежащий зачислению в республиканский бюджет.</w:t>
      </w:r>
    </w:p>
    <w:p w:rsidR="00366026" w:rsidRPr="00ED6862" w:rsidRDefault="00366026" w:rsidP="00E00E37">
      <w:pPr>
        <w:pStyle w:val="a3"/>
        <w:numPr>
          <w:ilvl w:val="0"/>
          <w:numId w:val="40"/>
        </w:numPr>
        <w:suppressAutoHyphens/>
        <w:ind w:left="0" w:firstLine="709"/>
        <w:jc w:val="both"/>
        <w:rPr>
          <w:i/>
          <w:sz w:val="28"/>
          <w:szCs w:val="28"/>
        </w:rPr>
      </w:pPr>
      <w:r w:rsidRPr="00ED6862">
        <w:rPr>
          <w:i/>
          <w:sz w:val="28"/>
          <w:szCs w:val="28"/>
        </w:rPr>
        <w:t>По налогу, взимаемому в связи с применением упрощенной системы налогообложения (УСН),</w:t>
      </w:r>
      <w:r w:rsidRPr="00ED6862">
        <w:rPr>
          <w:sz w:val="28"/>
          <w:szCs w:val="28"/>
        </w:rPr>
        <w:t xml:space="preserve"> с 1 января 2025 года размер норматива отчисления от УСН в бюджеты городских округов уменьшается до 50%, взамен действующего норматива в размере 100%.</w:t>
      </w:r>
    </w:p>
    <w:p w:rsidR="00366026" w:rsidRPr="00ED6862" w:rsidRDefault="00366026" w:rsidP="00E00E37">
      <w:pPr>
        <w:pStyle w:val="a3"/>
        <w:suppressAutoHyphens/>
        <w:ind w:left="0" w:firstLine="709"/>
        <w:jc w:val="both"/>
        <w:rPr>
          <w:sz w:val="28"/>
          <w:szCs w:val="28"/>
        </w:rPr>
      </w:pPr>
      <w:r w:rsidRPr="00ED6862">
        <w:rPr>
          <w:sz w:val="28"/>
          <w:szCs w:val="28"/>
        </w:rPr>
        <w:t xml:space="preserve">Отмечается, что по сравнению с другими субъектами Сибирского федерального округа Республика Тыва является единственным регионом, передавшим норматив отчисления от УСН в местные бюджеты в полном объеме или 100%, когда как субъектами СФО нормативы отчислений в бюджеты городских округов по данному налогу установлены в размере 50%. </w:t>
      </w:r>
    </w:p>
    <w:p w:rsidR="00366026" w:rsidRPr="00ED6862" w:rsidRDefault="00366026" w:rsidP="00E00E37">
      <w:pPr>
        <w:pStyle w:val="a3"/>
        <w:suppressAutoHyphens/>
        <w:ind w:left="0" w:firstLine="709"/>
        <w:jc w:val="both"/>
        <w:rPr>
          <w:sz w:val="28"/>
          <w:szCs w:val="28"/>
        </w:rPr>
      </w:pPr>
      <w:r w:rsidRPr="00ED6862">
        <w:rPr>
          <w:sz w:val="28"/>
          <w:szCs w:val="28"/>
        </w:rPr>
        <w:t>Таким образом, в целях увеличения налоговых доходов республиканского бюджета для исполнения расходных обязательств по приоритетным направлениям предлагается уменьшить размер норматива отчислений от УСН в бюджеты городских округов до 50% по аналогии с другими регионами СФО.</w:t>
      </w:r>
    </w:p>
    <w:p w:rsidR="00366026" w:rsidRPr="00ED6862" w:rsidRDefault="00366026" w:rsidP="00E00E37">
      <w:pPr>
        <w:suppressAutoHyphens/>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Предлагаемые нововведения позволят увеличить налоговые доходы республиканского бюджета на 2025 год, которые, в свою очередь, будут направлены на социальные цели, решение важных для населения задач, включающих приоритеты, объявленные Президентом Российской Федерации: оказание социальной поддержки, развитие системы здравоохранения, социальной инфраструктуры, поддержку материнства и детства и другие важные для республики направления.</w:t>
      </w:r>
    </w:p>
    <w:p w:rsidR="00A44FBA" w:rsidRPr="00ED6862" w:rsidRDefault="00A44FBA" w:rsidP="00E00E37">
      <w:pPr>
        <w:suppressAutoHyphens/>
        <w:spacing w:after="0" w:line="240" w:lineRule="auto"/>
        <w:ind w:firstLine="709"/>
        <w:jc w:val="both"/>
        <w:rPr>
          <w:rFonts w:ascii="Times New Roman" w:hAnsi="Times New Roman" w:cs="Times New Roman"/>
          <w:sz w:val="28"/>
          <w:szCs w:val="28"/>
        </w:rPr>
      </w:pPr>
    </w:p>
    <w:p w:rsidR="00A44FBA" w:rsidRPr="00ED6862" w:rsidRDefault="00A44FBA" w:rsidP="00E00E37">
      <w:pPr>
        <w:suppressAutoHyphens/>
        <w:spacing w:after="0" w:line="240" w:lineRule="auto"/>
        <w:ind w:firstLine="709"/>
        <w:jc w:val="both"/>
        <w:rPr>
          <w:rFonts w:ascii="Times New Roman" w:hAnsi="Times New Roman" w:cs="Times New Roman"/>
          <w:i/>
          <w:sz w:val="28"/>
          <w:szCs w:val="28"/>
        </w:rPr>
      </w:pPr>
      <w:r w:rsidRPr="00ED6862">
        <w:rPr>
          <w:rFonts w:ascii="Times New Roman" w:hAnsi="Times New Roman" w:cs="Times New Roman"/>
          <w:i/>
          <w:sz w:val="28"/>
          <w:szCs w:val="28"/>
        </w:rPr>
        <w:t xml:space="preserve">Повышение эффективности управления ликвидностью </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В соответствии с Постановлением Правительства Республики Тыва от 04.04.2023 г. № 217 расширен Перечень размещаемых остатков на казначейском счете со второго квартала 2023 года.</w:t>
      </w:r>
    </w:p>
    <w:p w:rsidR="00A44FBA" w:rsidRPr="00ED6862" w:rsidRDefault="00A44FBA" w:rsidP="00E00E37">
      <w:pPr>
        <w:autoSpaceDE w:val="0"/>
        <w:autoSpaceDN w:val="0"/>
        <w:adjustRightInd w:val="0"/>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В соответствии с изменениями привлечение остатков средств на единый счет республиканского бюджета осуществляется за счет:</w:t>
      </w:r>
    </w:p>
    <w:p w:rsidR="00A44FBA" w:rsidRPr="00ED6862" w:rsidRDefault="00A44FBA" w:rsidP="00E00E37">
      <w:pPr>
        <w:pStyle w:val="a3"/>
        <w:numPr>
          <w:ilvl w:val="0"/>
          <w:numId w:val="30"/>
        </w:numPr>
        <w:autoSpaceDE w:val="0"/>
        <w:autoSpaceDN w:val="0"/>
        <w:adjustRightInd w:val="0"/>
        <w:ind w:left="0" w:firstLine="709"/>
        <w:jc w:val="both"/>
        <w:rPr>
          <w:sz w:val="28"/>
          <w:szCs w:val="28"/>
        </w:rPr>
      </w:pPr>
      <w:r w:rsidRPr="00ED6862">
        <w:rPr>
          <w:sz w:val="28"/>
          <w:szCs w:val="28"/>
        </w:rPr>
        <w:t>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республиканского бюджета;</w:t>
      </w:r>
    </w:p>
    <w:p w:rsidR="00A44FBA" w:rsidRPr="00ED6862" w:rsidRDefault="00A44FBA" w:rsidP="00E00E37">
      <w:pPr>
        <w:pStyle w:val="a3"/>
        <w:numPr>
          <w:ilvl w:val="0"/>
          <w:numId w:val="30"/>
        </w:numPr>
        <w:autoSpaceDE w:val="0"/>
        <w:autoSpaceDN w:val="0"/>
        <w:adjustRightInd w:val="0"/>
        <w:ind w:left="0" w:firstLine="709"/>
        <w:jc w:val="both"/>
        <w:rPr>
          <w:sz w:val="28"/>
          <w:szCs w:val="28"/>
        </w:rPr>
      </w:pPr>
      <w:r w:rsidRPr="00ED6862">
        <w:rPr>
          <w:sz w:val="28"/>
          <w:szCs w:val="28"/>
        </w:rPr>
        <w:t>средств на казначейских счетах для осуществления и отражения операций с денежными средствами бюджетных и автономных учреждений Республики Тыва;</w:t>
      </w:r>
    </w:p>
    <w:p w:rsidR="00A44FBA" w:rsidRPr="00ED6862" w:rsidRDefault="00A44FBA" w:rsidP="00E00E37">
      <w:pPr>
        <w:pStyle w:val="a3"/>
        <w:numPr>
          <w:ilvl w:val="0"/>
          <w:numId w:val="30"/>
        </w:numPr>
        <w:autoSpaceDE w:val="0"/>
        <w:autoSpaceDN w:val="0"/>
        <w:adjustRightInd w:val="0"/>
        <w:ind w:left="0" w:firstLine="709"/>
        <w:jc w:val="both"/>
        <w:rPr>
          <w:sz w:val="28"/>
          <w:szCs w:val="28"/>
        </w:rPr>
      </w:pPr>
      <w:r w:rsidRPr="00ED6862">
        <w:rPr>
          <w:sz w:val="28"/>
          <w:szCs w:val="28"/>
        </w:rPr>
        <w:t>средств на единых счетах бюджетов государственных внебюджетных фондов, открытых Территориальному фонду обязательного медицинского страхования Республики Тыва;</w:t>
      </w:r>
    </w:p>
    <w:p w:rsidR="00A44FBA" w:rsidRPr="00ED6862" w:rsidRDefault="00A44FBA" w:rsidP="00E00E37">
      <w:pPr>
        <w:pStyle w:val="a3"/>
        <w:numPr>
          <w:ilvl w:val="0"/>
          <w:numId w:val="30"/>
        </w:numPr>
        <w:autoSpaceDE w:val="0"/>
        <w:autoSpaceDN w:val="0"/>
        <w:adjustRightInd w:val="0"/>
        <w:ind w:left="0" w:firstLine="709"/>
        <w:jc w:val="both"/>
        <w:rPr>
          <w:sz w:val="28"/>
          <w:szCs w:val="28"/>
        </w:rPr>
      </w:pPr>
      <w:r w:rsidRPr="00ED6862">
        <w:rPr>
          <w:sz w:val="28"/>
          <w:szCs w:val="28"/>
        </w:rPr>
        <w:lastRenderedPageBreak/>
        <w:t>средств на казначейских счетах для осуществления и отражения операций с денежными средствами получателей средств из республиканского бюджета;</w:t>
      </w:r>
    </w:p>
    <w:p w:rsidR="00A44FBA" w:rsidRPr="00ED6862" w:rsidRDefault="00A44FBA" w:rsidP="00E00E37">
      <w:pPr>
        <w:pStyle w:val="a3"/>
        <w:numPr>
          <w:ilvl w:val="0"/>
          <w:numId w:val="30"/>
        </w:numPr>
        <w:autoSpaceDE w:val="0"/>
        <w:autoSpaceDN w:val="0"/>
        <w:adjustRightInd w:val="0"/>
        <w:ind w:left="0" w:firstLine="709"/>
        <w:jc w:val="both"/>
        <w:rPr>
          <w:sz w:val="28"/>
          <w:szCs w:val="28"/>
        </w:rPr>
      </w:pPr>
      <w:r w:rsidRPr="00ED6862">
        <w:rPr>
          <w:sz w:val="28"/>
          <w:szCs w:val="28"/>
        </w:rPr>
        <w:t>средств на казначейских счетах для осуществления и отражения операций с денежными средствами участников казначейского сопровождения, открытых Министерству финансов Республики Тыва.</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 xml:space="preserve">В результате расширения Перечня размещаемых остатков на казначейском счете прогнозное поступление по данному источнику в 2025 году составляет 361 млн. рублей, с ростом к ожидаемой оценке 2024 года на 18% или на 55 млн. рублей. </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p>
    <w:p w:rsidR="00A44FBA" w:rsidRPr="00ED6862" w:rsidRDefault="00A44FBA" w:rsidP="00E00E37">
      <w:pPr>
        <w:suppressAutoHyphens/>
        <w:spacing w:after="0" w:line="240" w:lineRule="auto"/>
        <w:ind w:firstLine="708"/>
        <w:jc w:val="both"/>
        <w:rPr>
          <w:rFonts w:ascii="Times New Roman" w:hAnsi="Times New Roman" w:cs="Times New Roman"/>
          <w:i/>
          <w:sz w:val="28"/>
          <w:szCs w:val="28"/>
        </w:rPr>
      </w:pPr>
      <w:r w:rsidRPr="00ED6862">
        <w:rPr>
          <w:rFonts w:ascii="Times New Roman" w:hAnsi="Times New Roman" w:cs="Times New Roman"/>
          <w:i/>
          <w:sz w:val="28"/>
          <w:szCs w:val="28"/>
        </w:rPr>
        <w:t>Оценка налоговых расходов</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 xml:space="preserve">В соответствии со статьей 174.3 Бюджетного кодекса Российской Федерации ежегодно налоговые расходы всех уровней подлежат оценке с соблюдением общих требований, установленных Правительством Российской Федерации. Оценка налоговых расходов Республики Тыва проведена в соответствии с порядком, утвержденным </w:t>
      </w:r>
      <w:r w:rsidR="003D0C02" w:rsidRPr="00ED6862">
        <w:rPr>
          <w:rFonts w:ascii="Times New Roman" w:hAnsi="Times New Roman" w:cs="Times New Roman"/>
          <w:sz w:val="28"/>
          <w:szCs w:val="28"/>
        </w:rPr>
        <w:t>п</w:t>
      </w:r>
      <w:r w:rsidRPr="00ED6862">
        <w:rPr>
          <w:rFonts w:ascii="Times New Roman" w:hAnsi="Times New Roman" w:cs="Times New Roman"/>
          <w:sz w:val="28"/>
          <w:szCs w:val="28"/>
        </w:rPr>
        <w:t>остановление</w:t>
      </w:r>
      <w:r w:rsidR="003D0C02" w:rsidRPr="00ED6862">
        <w:rPr>
          <w:rFonts w:ascii="Times New Roman" w:hAnsi="Times New Roman" w:cs="Times New Roman"/>
          <w:sz w:val="28"/>
          <w:szCs w:val="28"/>
        </w:rPr>
        <w:t>м</w:t>
      </w:r>
      <w:r w:rsidRPr="00ED6862">
        <w:rPr>
          <w:rFonts w:ascii="Times New Roman" w:hAnsi="Times New Roman" w:cs="Times New Roman"/>
          <w:sz w:val="28"/>
          <w:szCs w:val="28"/>
        </w:rPr>
        <w:t xml:space="preserve"> Правительства Республики Тыва от 13.12.2019 № 593 «Об утверждении Правил формирования перечня-реестра налоговых расходов (льгот) Республики Тыва и оценки эффективности налоговых расходов (льгот) Республики Тыва». </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 xml:space="preserve">В 2023 году из консолидированного бюджета Республики Тыва предоставлено налоговых льгот на общую сумму 473,7 млн. рублей для 6 580 налогоплательщиков. </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На региональном уровне действовали налоговые льготы (пониженные ставки) по налогу на прибыль организаций, налогу на имущество организаций, транспортному налогу, упрощенной и патентной системам налогообложения. Совокупный объем предоставленных налоговых льгот (пониженных ставок) за 2023 год составил 473,3 млн. рублей (из них по упрощенной системе налогообложения 207 млн. рублей, налогу на прибыль организаций 13 млн. рублей, налогу на имущество организаций 249 млн. рублей, по транспортному налогу 4 млн. рублей, по патентной системе налогообложения 0,3 млн. рублей), что составило 4%</w:t>
      </w:r>
      <w:r w:rsidRPr="00ED6862">
        <w:rPr>
          <w:rFonts w:ascii="Times New Roman" w:hAnsi="Times New Roman" w:cs="Times New Roman"/>
          <w:color w:val="FF0000"/>
          <w:sz w:val="28"/>
          <w:szCs w:val="28"/>
        </w:rPr>
        <w:t xml:space="preserve"> </w:t>
      </w:r>
      <w:r w:rsidRPr="00ED6862">
        <w:rPr>
          <w:rFonts w:ascii="Times New Roman" w:hAnsi="Times New Roman" w:cs="Times New Roman"/>
          <w:sz w:val="28"/>
          <w:szCs w:val="28"/>
        </w:rPr>
        <w:t>от объема утвержденных налоговых и неналоговых доходов консолидированного бюджета Республики Тыва за 2023 год. Количество получателей региональных налоговых льгот составило 6 231 единиц.</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В структуре действующих налоговых льгот основную долю занимают льготы по налогу на имущество организаций 53%, упрощенной системе налогообложения 43%, по налогу на прибыль организаций 3%, на оставшиеся льготы приходится 1%.</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На местном уровне в 2023 году предоставлена налоговая льгота по земельному налогу физических лиц в сумме 0,4 млн. рублей для 349 получателей, которая носит социальный характер.</w:t>
      </w:r>
    </w:p>
    <w:p w:rsidR="00A44FBA" w:rsidRPr="00ED6862" w:rsidRDefault="00A44FBA" w:rsidP="00E00E37">
      <w:pPr>
        <w:suppressAutoHyphens/>
        <w:spacing w:after="0" w:line="240" w:lineRule="auto"/>
        <w:ind w:firstLine="708"/>
        <w:jc w:val="both"/>
        <w:rPr>
          <w:rFonts w:ascii="Times New Roman" w:hAnsi="Times New Roman" w:cs="Times New Roman"/>
          <w:sz w:val="28"/>
          <w:szCs w:val="28"/>
        </w:rPr>
      </w:pPr>
      <w:r w:rsidRPr="00ED6862">
        <w:rPr>
          <w:rFonts w:ascii="Times New Roman" w:hAnsi="Times New Roman" w:cs="Times New Roman"/>
          <w:sz w:val="28"/>
          <w:szCs w:val="28"/>
        </w:rPr>
        <w:t>Таким образом, принято решение о пролонгации действующих налоговых льгот на последующие годы.</w:t>
      </w:r>
    </w:p>
    <w:p w:rsidR="00446207" w:rsidRPr="00ED6862" w:rsidRDefault="00446207" w:rsidP="00E00E37">
      <w:pPr>
        <w:suppressAutoHyphens/>
        <w:spacing w:after="0" w:line="240" w:lineRule="auto"/>
        <w:ind w:firstLine="708"/>
        <w:jc w:val="both"/>
        <w:rPr>
          <w:rFonts w:ascii="Times New Roman" w:hAnsi="Times New Roman" w:cs="Times New Roman"/>
          <w:sz w:val="28"/>
          <w:szCs w:val="28"/>
        </w:rPr>
      </w:pPr>
    </w:p>
    <w:p w:rsidR="00AD222F" w:rsidRPr="00ED6862" w:rsidRDefault="006974A3" w:rsidP="006974A3">
      <w:pPr>
        <w:pStyle w:val="a3"/>
        <w:ind w:left="0"/>
        <w:jc w:val="center"/>
        <w:textAlignment w:val="baseline"/>
        <w:rPr>
          <w:b/>
          <w:sz w:val="28"/>
          <w:szCs w:val="28"/>
          <w:lang w:eastAsia="ru-RU"/>
        </w:rPr>
      </w:pPr>
      <w:r w:rsidRPr="00ED6862">
        <w:rPr>
          <w:b/>
          <w:sz w:val="28"/>
          <w:szCs w:val="28"/>
          <w:lang w:eastAsia="ru-RU"/>
        </w:rPr>
        <w:t xml:space="preserve">5. </w:t>
      </w:r>
      <w:r w:rsidR="00AD222F" w:rsidRPr="00ED6862">
        <w:rPr>
          <w:b/>
          <w:sz w:val="28"/>
          <w:szCs w:val="28"/>
          <w:lang w:eastAsia="ru-RU"/>
        </w:rPr>
        <w:t>Основные задачи и направления бюджетной политики</w:t>
      </w:r>
      <w:r w:rsidR="00AB0028" w:rsidRPr="00ED6862">
        <w:rPr>
          <w:b/>
          <w:sz w:val="28"/>
          <w:szCs w:val="28"/>
          <w:lang w:eastAsia="ru-RU"/>
        </w:rPr>
        <w:t xml:space="preserve"> Республики Тыва</w:t>
      </w:r>
    </w:p>
    <w:p w:rsidR="00AD222F" w:rsidRPr="00ED6862" w:rsidRDefault="00AD222F" w:rsidP="006974A3">
      <w:pPr>
        <w:pStyle w:val="a3"/>
        <w:ind w:left="0"/>
        <w:jc w:val="center"/>
        <w:textAlignment w:val="baseline"/>
        <w:rPr>
          <w:b/>
          <w:sz w:val="28"/>
          <w:szCs w:val="28"/>
          <w:lang w:eastAsia="ru-RU"/>
        </w:rPr>
      </w:pPr>
      <w:r w:rsidRPr="00ED6862">
        <w:rPr>
          <w:b/>
          <w:sz w:val="28"/>
          <w:szCs w:val="28"/>
          <w:lang w:eastAsia="ru-RU"/>
        </w:rPr>
        <w:t>на 202</w:t>
      </w:r>
      <w:r w:rsidR="00731BE1" w:rsidRPr="00ED6862">
        <w:rPr>
          <w:b/>
          <w:sz w:val="28"/>
          <w:szCs w:val="28"/>
          <w:lang w:eastAsia="ru-RU"/>
        </w:rPr>
        <w:t>5</w:t>
      </w:r>
      <w:r w:rsidR="003A6C9E" w:rsidRPr="00ED6862">
        <w:rPr>
          <w:b/>
          <w:sz w:val="28"/>
          <w:szCs w:val="28"/>
          <w:lang w:eastAsia="ru-RU"/>
        </w:rPr>
        <w:t xml:space="preserve"> год и на плановый период 202</w:t>
      </w:r>
      <w:r w:rsidR="00731BE1" w:rsidRPr="00ED6862">
        <w:rPr>
          <w:b/>
          <w:sz w:val="28"/>
          <w:szCs w:val="28"/>
          <w:lang w:eastAsia="ru-RU"/>
        </w:rPr>
        <w:t>6</w:t>
      </w:r>
      <w:r w:rsidRPr="00ED6862">
        <w:rPr>
          <w:b/>
          <w:sz w:val="28"/>
          <w:szCs w:val="28"/>
          <w:lang w:eastAsia="ru-RU"/>
        </w:rPr>
        <w:t xml:space="preserve"> и 202</w:t>
      </w:r>
      <w:r w:rsidR="00731BE1" w:rsidRPr="00ED6862">
        <w:rPr>
          <w:b/>
          <w:sz w:val="28"/>
          <w:szCs w:val="28"/>
          <w:lang w:eastAsia="ru-RU"/>
        </w:rPr>
        <w:t>7</w:t>
      </w:r>
      <w:r w:rsidRPr="00ED6862">
        <w:rPr>
          <w:b/>
          <w:sz w:val="28"/>
          <w:szCs w:val="28"/>
          <w:lang w:eastAsia="ru-RU"/>
        </w:rPr>
        <w:t xml:space="preserve"> годов</w:t>
      </w:r>
    </w:p>
    <w:p w:rsidR="00AD222F" w:rsidRPr="00ED6862" w:rsidRDefault="00AD222F" w:rsidP="004E10B5">
      <w:pPr>
        <w:pStyle w:val="a3"/>
        <w:ind w:left="0" w:firstLine="709"/>
        <w:jc w:val="both"/>
        <w:textAlignment w:val="baseline"/>
        <w:rPr>
          <w:b/>
          <w:sz w:val="28"/>
          <w:szCs w:val="28"/>
          <w:lang w:eastAsia="ru-RU"/>
        </w:rPr>
      </w:pPr>
    </w:p>
    <w:p w:rsidR="004E10B5" w:rsidRPr="00ED6862" w:rsidRDefault="00731BE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В целях сохранения сбалансированного развития Республики Тыва и устойчивого роста экономики, обеспечивающих последовательное повышение качества жизни граждан акценты бюджетной политики в 2025–2027 годах будут сконцентрированы на следующих на</w:t>
      </w:r>
      <w:r w:rsidR="004E10B5" w:rsidRPr="00ED6862">
        <w:rPr>
          <w:rFonts w:ascii="Times New Roman" w:eastAsia="Times New Roman" w:hAnsi="Times New Roman" w:cs="Times New Roman"/>
          <w:sz w:val="28"/>
          <w:szCs w:val="28"/>
          <w:lang w:eastAsia="ru-RU"/>
        </w:rPr>
        <w:t>правлениях:</w:t>
      </w:r>
    </w:p>
    <w:p w:rsidR="00731BE1" w:rsidRPr="00ED6862" w:rsidRDefault="004E10B5"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1</w:t>
      </w:r>
      <w:r w:rsidR="00731BE1" w:rsidRPr="00ED6862">
        <w:rPr>
          <w:rFonts w:ascii="Times New Roman" w:eastAsia="Times New Roman" w:hAnsi="Times New Roman" w:cs="Times New Roman"/>
          <w:sz w:val="28"/>
          <w:szCs w:val="28"/>
          <w:lang w:eastAsia="ru-RU"/>
        </w:rPr>
        <w:t xml:space="preserve">. </w:t>
      </w:r>
      <w:r w:rsidRPr="00ED6862">
        <w:rPr>
          <w:rFonts w:ascii="Times New Roman" w:eastAsia="Times New Roman" w:hAnsi="Times New Roman" w:cs="Times New Roman"/>
          <w:sz w:val="28"/>
          <w:szCs w:val="28"/>
          <w:lang w:eastAsia="ru-RU"/>
        </w:rPr>
        <w:t>у</w:t>
      </w:r>
      <w:r w:rsidR="00731BE1" w:rsidRPr="00ED6862">
        <w:rPr>
          <w:rFonts w:ascii="Times New Roman" w:eastAsia="Times New Roman" w:hAnsi="Times New Roman" w:cs="Times New Roman"/>
          <w:sz w:val="28"/>
          <w:szCs w:val="28"/>
          <w:lang w:eastAsia="ru-RU"/>
        </w:rPr>
        <w:t>частие в реализации национальных целей развития Российской Федерации, определенных П</w:t>
      </w:r>
      <w:r w:rsidR="003D0C02" w:rsidRPr="00ED6862">
        <w:rPr>
          <w:rFonts w:ascii="Times New Roman" w:eastAsia="Times New Roman" w:hAnsi="Times New Roman" w:cs="Times New Roman"/>
          <w:sz w:val="28"/>
          <w:szCs w:val="28"/>
          <w:lang w:eastAsia="ru-RU"/>
        </w:rPr>
        <w:t>резидентом Российской Федерации;</w:t>
      </w:r>
    </w:p>
    <w:p w:rsidR="00731BE1" w:rsidRPr="00ED6862" w:rsidRDefault="00731BE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2. </w:t>
      </w:r>
      <w:r w:rsidR="004E10B5" w:rsidRPr="00ED6862">
        <w:rPr>
          <w:rFonts w:ascii="Times New Roman" w:eastAsia="Times New Roman" w:hAnsi="Times New Roman" w:cs="Times New Roman"/>
          <w:sz w:val="28"/>
          <w:szCs w:val="28"/>
          <w:lang w:eastAsia="ru-RU"/>
        </w:rPr>
        <w:t>в</w:t>
      </w:r>
      <w:r w:rsidRPr="00ED6862">
        <w:rPr>
          <w:rFonts w:ascii="Times New Roman" w:eastAsia="Times New Roman" w:hAnsi="Times New Roman" w:cs="Times New Roman"/>
          <w:sz w:val="28"/>
          <w:szCs w:val="28"/>
          <w:lang w:eastAsia="ru-RU"/>
        </w:rPr>
        <w:t>заимодействие с федеральными органами власти, в том числе по увеличению объема финансовой поддержки из федерального бюджета, совершенствованию федерального законодательства, оказывающего влияние на формирование бюджетов</w:t>
      </w:r>
      <w:r w:rsidR="003D0C02" w:rsidRPr="00ED6862">
        <w:rPr>
          <w:rFonts w:ascii="Times New Roman" w:eastAsia="Times New Roman" w:hAnsi="Times New Roman" w:cs="Times New Roman"/>
          <w:sz w:val="28"/>
          <w:szCs w:val="28"/>
          <w:lang w:eastAsia="ru-RU"/>
        </w:rPr>
        <w:t xml:space="preserve"> субъектов Российской Федерации;</w:t>
      </w:r>
    </w:p>
    <w:p w:rsidR="00731BE1" w:rsidRPr="00ED6862" w:rsidRDefault="00731BE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3. </w:t>
      </w:r>
      <w:r w:rsidR="004E10B5" w:rsidRPr="00ED6862">
        <w:rPr>
          <w:rFonts w:ascii="Times New Roman" w:eastAsia="Times New Roman" w:hAnsi="Times New Roman" w:cs="Times New Roman"/>
          <w:sz w:val="28"/>
          <w:szCs w:val="28"/>
          <w:lang w:eastAsia="ru-RU"/>
        </w:rPr>
        <w:t>р</w:t>
      </w:r>
      <w:r w:rsidRPr="00ED6862">
        <w:rPr>
          <w:rFonts w:ascii="Times New Roman" w:eastAsia="Times New Roman" w:hAnsi="Times New Roman" w:cs="Times New Roman"/>
          <w:sz w:val="28"/>
          <w:szCs w:val="28"/>
          <w:lang w:eastAsia="ru-RU"/>
        </w:rPr>
        <w:t>еализация проектов инфраструктурного развития, способствующих социально-экономич</w:t>
      </w:r>
      <w:r w:rsidR="003D0C02" w:rsidRPr="00ED6862">
        <w:rPr>
          <w:rFonts w:ascii="Times New Roman" w:eastAsia="Times New Roman" w:hAnsi="Times New Roman" w:cs="Times New Roman"/>
          <w:sz w:val="28"/>
          <w:szCs w:val="28"/>
          <w:lang w:eastAsia="ru-RU"/>
        </w:rPr>
        <w:t>ескому развитию Республики Тыва;</w:t>
      </w:r>
    </w:p>
    <w:p w:rsidR="00731BE1" w:rsidRPr="00ED6862" w:rsidRDefault="00731BE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4. </w:t>
      </w:r>
      <w:r w:rsidR="004E10B5" w:rsidRPr="00ED6862">
        <w:rPr>
          <w:rFonts w:ascii="Times New Roman" w:eastAsia="Times New Roman" w:hAnsi="Times New Roman" w:cs="Times New Roman"/>
          <w:sz w:val="28"/>
          <w:szCs w:val="28"/>
          <w:lang w:eastAsia="ru-RU"/>
        </w:rPr>
        <w:t>с</w:t>
      </w:r>
      <w:r w:rsidRPr="00ED6862">
        <w:rPr>
          <w:rFonts w:ascii="Times New Roman" w:eastAsia="Times New Roman" w:hAnsi="Times New Roman" w:cs="Times New Roman"/>
          <w:sz w:val="28"/>
          <w:szCs w:val="28"/>
          <w:lang w:eastAsia="ru-RU"/>
        </w:rPr>
        <w:t>одействие комплексному развитию муниципальн</w:t>
      </w:r>
      <w:r w:rsidR="003D0C02" w:rsidRPr="00ED6862">
        <w:rPr>
          <w:rFonts w:ascii="Times New Roman" w:eastAsia="Times New Roman" w:hAnsi="Times New Roman" w:cs="Times New Roman"/>
          <w:sz w:val="28"/>
          <w:szCs w:val="28"/>
          <w:lang w:eastAsia="ru-RU"/>
        </w:rPr>
        <w:t>ых образований Республики Тыва;</w:t>
      </w:r>
    </w:p>
    <w:p w:rsidR="00731BE1" w:rsidRPr="00ED6862" w:rsidRDefault="00731BE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5. </w:t>
      </w:r>
      <w:r w:rsidR="004E10B5" w:rsidRPr="00ED6862">
        <w:rPr>
          <w:rFonts w:ascii="Times New Roman" w:eastAsia="Times New Roman" w:hAnsi="Times New Roman" w:cs="Times New Roman"/>
          <w:sz w:val="28"/>
          <w:szCs w:val="28"/>
          <w:lang w:eastAsia="ru-RU"/>
        </w:rPr>
        <w:t>п</w:t>
      </w:r>
      <w:r w:rsidRPr="00ED6862">
        <w:rPr>
          <w:rFonts w:ascii="Times New Roman" w:eastAsia="Times New Roman" w:hAnsi="Times New Roman" w:cs="Times New Roman"/>
          <w:sz w:val="28"/>
          <w:szCs w:val="28"/>
          <w:lang w:eastAsia="ru-RU"/>
        </w:rPr>
        <w:t>овышение эффект</w:t>
      </w:r>
      <w:r w:rsidR="003D0C02" w:rsidRPr="00ED6862">
        <w:rPr>
          <w:rFonts w:ascii="Times New Roman" w:eastAsia="Times New Roman" w:hAnsi="Times New Roman" w:cs="Times New Roman"/>
          <w:sz w:val="28"/>
          <w:szCs w:val="28"/>
          <w:lang w:eastAsia="ru-RU"/>
        </w:rPr>
        <w:t>ивности бюджетных расходов;</w:t>
      </w:r>
    </w:p>
    <w:p w:rsidR="00AA02E4" w:rsidRPr="00ED6862" w:rsidRDefault="00731BE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6. </w:t>
      </w:r>
      <w:r w:rsidR="004E10B5" w:rsidRPr="00ED6862">
        <w:rPr>
          <w:rFonts w:ascii="Times New Roman" w:eastAsia="Times New Roman" w:hAnsi="Times New Roman" w:cs="Times New Roman"/>
          <w:sz w:val="28"/>
          <w:szCs w:val="28"/>
          <w:lang w:eastAsia="ru-RU"/>
        </w:rPr>
        <w:t>в</w:t>
      </w:r>
      <w:r w:rsidRPr="00ED6862">
        <w:rPr>
          <w:rFonts w:ascii="Times New Roman" w:eastAsia="Times New Roman" w:hAnsi="Times New Roman" w:cs="Times New Roman"/>
          <w:sz w:val="28"/>
          <w:szCs w:val="28"/>
          <w:lang w:eastAsia="ru-RU"/>
        </w:rPr>
        <w:t>овлечение граждан в бюджетный процесс, включая развитие инициативного бюджетирования, повышение финансовой грамотности и формирования финансовой культуры населения.</w:t>
      </w:r>
    </w:p>
    <w:p w:rsidR="004E10B5" w:rsidRPr="00ED6862" w:rsidRDefault="004E10B5" w:rsidP="004E10B5">
      <w:pPr>
        <w:spacing w:after="0" w:line="240" w:lineRule="auto"/>
        <w:ind w:firstLine="709"/>
        <w:jc w:val="both"/>
        <w:textAlignment w:val="baseline"/>
        <w:rPr>
          <w:rFonts w:ascii="Times New Roman" w:eastAsia="Times New Roman" w:hAnsi="Times New Roman" w:cs="Times New Roman"/>
          <w:sz w:val="28"/>
          <w:szCs w:val="28"/>
          <w:lang w:eastAsia="ru-RU"/>
        </w:rPr>
      </w:pPr>
    </w:p>
    <w:p w:rsidR="00C456B9" w:rsidRPr="00ED6862" w:rsidRDefault="004E10B5" w:rsidP="004E10B5">
      <w:pPr>
        <w:keepNext/>
        <w:tabs>
          <w:tab w:val="left" w:pos="709"/>
        </w:tabs>
        <w:spacing w:after="0" w:line="240" w:lineRule="auto"/>
        <w:ind w:firstLine="709"/>
        <w:jc w:val="both"/>
        <w:outlineLvl w:val="1"/>
        <w:rPr>
          <w:rFonts w:ascii="Times New Roman" w:eastAsia="Calibri" w:hAnsi="Times New Roman" w:cs="Times New Roman"/>
          <w:b/>
          <w:bCs/>
          <w:iCs/>
          <w:caps/>
          <w:sz w:val="28"/>
          <w:szCs w:val="28"/>
          <w:lang w:eastAsia="ru-RU"/>
        </w:rPr>
      </w:pPr>
      <w:bookmarkStart w:id="1" w:name="_Toc179826236"/>
      <w:bookmarkStart w:id="2" w:name="_Toc116426874"/>
      <w:r w:rsidRPr="00ED6862">
        <w:rPr>
          <w:rFonts w:ascii="Times New Roman" w:eastAsia="Calibri" w:hAnsi="Times New Roman" w:cs="Times New Roman"/>
          <w:b/>
          <w:bCs/>
          <w:iCs/>
          <w:sz w:val="28"/>
          <w:szCs w:val="28"/>
          <w:lang w:eastAsia="ru-RU"/>
        </w:rPr>
        <w:t>Участие в реализации национальных целей развития Российской Федерации, определенных Президентом России</w:t>
      </w:r>
      <w:bookmarkEnd w:id="1"/>
      <w:r w:rsidRPr="00ED6862">
        <w:rPr>
          <w:rFonts w:ascii="Times New Roman" w:eastAsia="Calibri" w:hAnsi="Times New Roman" w:cs="Times New Roman"/>
          <w:b/>
          <w:bCs/>
          <w:iCs/>
          <w:sz w:val="28"/>
          <w:szCs w:val="28"/>
          <w:lang w:eastAsia="ru-RU"/>
        </w:rPr>
        <w:t xml:space="preserve"> </w:t>
      </w:r>
      <w:bookmarkEnd w:id="2"/>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Указом Президента № 309 обозначены семь новых национальных целей развития страны, которые охватывают все сферы общественной жизни:</w:t>
      </w:r>
    </w:p>
    <w:p w:rsidR="00C456B9" w:rsidRPr="00ED6862" w:rsidRDefault="00C456B9" w:rsidP="004E10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а) сохранение населения, укрепление здоровья и повышение благополучия людей, поддержка семьи;</w:t>
      </w:r>
    </w:p>
    <w:p w:rsidR="00C456B9" w:rsidRPr="00ED6862" w:rsidRDefault="00C456B9" w:rsidP="004E10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б) реализация потенциала каждого человека, развитие его талантов, воспитание патриотичной и социально ответственной личности;</w:t>
      </w:r>
    </w:p>
    <w:p w:rsidR="00C456B9" w:rsidRPr="00ED6862" w:rsidRDefault="00C456B9" w:rsidP="004E10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в) комфортная и безопасная среда для жизни;</w:t>
      </w:r>
    </w:p>
    <w:p w:rsidR="00C456B9" w:rsidRPr="00ED6862" w:rsidRDefault="00C456B9" w:rsidP="004E10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г) экологическое благополучие;</w:t>
      </w:r>
    </w:p>
    <w:p w:rsidR="00C456B9" w:rsidRPr="00ED6862" w:rsidRDefault="00C456B9" w:rsidP="004E10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д) устойчивая и динамичная экономика;</w:t>
      </w:r>
    </w:p>
    <w:p w:rsidR="00C456B9" w:rsidRPr="00ED6862" w:rsidRDefault="00C456B9" w:rsidP="004E10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е) технологическое лидерство;</w:t>
      </w:r>
    </w:p>
    <w:p w:rsidR="00C456B9" w:rsidRPr="00ED6862" w:rsidRDefault="00C456B9" w:rsidP="004E10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ж) цифровая трансформация государственного и муниципального управления, экономики и социальной сферы.</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В сравнении с национальными целями развития, ранее определенными Указом Президента Российской Федерации от 21.07.2020 № 474 «О национальных целях развития Российской Федерации на период до 2030 года» (утратил силу в связи с изданием Указа Президента </w:t>
      </w:r>
      <w:r w:rsidR="0094268F" w:rsidRPr="00ED6862">
        <w:rPr>
          <w:rFonts w:ascii="Times New Roman" w:eastAsia="Calibri" w:hAnsi="Times New Roman" w:cs="Times New Roman"/>
          <w:sz w:val="28"/>
          <w:szCs w:val="28"/>
        </w:rPr>
        <w:t xml:space="preserve">от 07.05.2024 </w:t>
      </w:r>
      <w:r w:rsidRPr="00ED6862">
        <w:rPr>
          <w:rFonts w:ascii="Times New Roman" w:eastAsia="Calibri" w:hAnsi="Times New Roman" w:cs="Times New Roman"/>
          <w:sz w:val="28"/>
          <w:szCs w:val="28"/>
        </w:rPr>
        <w:t xml:space="preserve">№ 309), изменены все национальные цели развития. Абсолютно новыми приоритетами выступили экологическое благополучие и технологическое лидерство.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lastRenderedPageBreak/>
        <w:t xml:space="preserve">Указом Президента № 309 установлено 82 целевых показателя и задач, выполнение которых характеризует достижение национальных целей. На содействие достижению национальных целей развития будет ориентирован весь инструментарий бюджетной политики. Одними из основных инструментов достижения национальных целей являются национальные проекты, включающие в себя меры по реализации Посланий Президента Российской Федерации Федеральному Собранию Российской Федерации, в том числе от 29.02.2024 года, подлежащие приоритетному финансированию.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С 2025 года начнут действовать следующие национальные проекты: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«Продолжительная и активная жизнь»;</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«Семья»;</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«Молодежь и дети»;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«Кадры»;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«Инфраструктура для жизни»;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«Эффективная транспортная система»;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«Экологическое благополучие»;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«Эффективная и конкурентная экономика»;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«Туризм и гостеприимство»;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«Международная кооперация и экспорт»;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«Экономика данных и цифровая трансформация государства»; </w:t>
      </w:r>
    </w:p>
    <w:p w:rsidR="00C456B9" w:rsidRPr="00ED6862" w:rsidRDefault="00C456B9"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а также блок национальных проектов по обеспечению технологического лидерства: «Средства производства и автоматизации», «Новые материалы и химия», «Беспилотные авиационные системы», «Новые технологии сбережения здоровья», «Промышленное обеспечение транспортной мобильности», «Новые атомные и энергетические технологии», «Технологическое обеспечение продовольственной безопасности», «Развитие космической деятельности Российской Федерации на период до 2030 года и на перспективу до 2036 года».</w:t>
      </w:r>
    </w:p>
    <w:p w:rsidR="006D6390" w:rsidRPr="00ED6862" w:rsidRDefault="00C456B9"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Calibri" w:hAnsi="Times New Roman" w:cs="Times New Roman"/>
          <w:sz w:val="28"/>
          <w:szCs w:val="28"/>
        </w:rPr>
        <w:t xml:space="preserve">Финансовые параметры новых национальных проектов и других мероприятий по достижению национальных целей развития войдут в перспективный финансовый план на 2025-2030 годы. Для достижения указанных целей потребуется концентрация дополнительных бюджетных ресурсов и мероприятий государственных программ. </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b/>
          <w:sz w:val="28"/>
          <w:szCs w:val="28"/>
          <w:lang w:eastAsia="ru-RU"/>
        </w:rPr>
      </w:pPr>
    </w:p>
    <w:p w:rsidR="00D14CB1" w:rsidRPr="00ED6862" w:rsidRDefault="004E10B5" w:rsidP="004E10B5">
      <w:pPr>
        <w:spacing w:after="0" w:line="240" w:lineRule="auto"/>
        <w:ind w:firstLine="709"/>
        <w:jc w:val="both"/>
        <w:textAlignment w:val="baseline"/>
        <w:rPr>
          <w:rFonts w:ascii="Times New Roman" w:eastAsia="Times New Roman" w:hAnsi="Times New Roman" w:cs="Times New Roman"/>
          <w:b/>
          <w:sz w:val="28"/>
          <w:szCs w:val="28"/>
          <w:lang w:eastAsia="ru-RU"/>
        </w:rPr>
      </w:pPr>
      <w:r w:rsidRPr="00ED6862">
        <w:rPr>
          <w:rFonts w:ascii="Times New Roman" w:eastAsia="Times New Roman" w:hAnsi="Times New Roman" w:cs="Times New Roman"/>
          <w:b/>
          <w:sz w:val="28"/>
          <w:szCs w:val="28"/>
          <w:lang w:eastAsia="ru-RU"/>
        </w:rPr>
        <w:t>Взаимодействие с федеральными органами власти</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Структурные изменения бюджетной политики, произошедшие на федеральном уровне в условиях обострения геополитической ситуации и масштабного санкционного давления, а также проведенная стратегическая приоритизация и переориентация расходов, отразились на межбюджетных отношениях с регионами.</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В предстоящем бюджетном </w:t>
      </w:r>
      <w:r w:rsidR="004E10B5" w:rsidRPr="00ED6862">
        <w:rPr>
          <w:rFonts w:ascii="Times New Roman" w:eastAsia="Times New Roman" w:hAnsi="Times New Roman" w:cs="Times New Roman"/>
          <w:sz w:val="28"/>
          <w:szCs w:val="28"/>
          <w:lang w:eastAsia="ru-RU"/>
        </w:rPr>
        <w:t>а</w:t>
      </w:r>
      <w:r w:rsidRPr="00ED6862">
        <w:rPr>
          <w:rFonts w:ascii="Times New Roman" w:eastAsia="Times New Roman" w:hAnsi="Times New Roman" w:cs="Times New Roman"/>
          <w:sz w:val="28"/>
          <w:szCs w:val="28"/>
          <w:lang w:eastAsia="ru-RU"/>
        </w:rPr>
        <w:t xml:space="preserve">ктуальными для Республики Тыва </w:t>
      </w:r>
      <w:r w:rsidR="004E10B5" w:rsidRPr="00ED6862">
        <w:rPr>
          <w:rFonts w:ascii="Times New Roman" w:eastAsia="Times New Roman" w:hAnsi="Times New Roman" w:cs="Times New Roman"/>
          <w:sz w:val="28"/>
          <w:szCs w:val="28"/>
          <w:lang w:eastAsia="ru-RU"/>
        </w:rPr>
        <w:t xml:space="preserve">остаются </w:t>
      </w:r>
      <w:r w:rsidRPr="00ED6862">
        <w:rPr>
          <w:rFonts w:ascii="Times New Roman" w:eastAsia="Times New Roman" w:hAnsi="Times New Roman" w:cs="Times New Roman"/>
          <w:sz w:val="28"/>
          <w:szCs w:val="28"/>
          <w:lang w:eastAsia="ru-RU"/>
        </w:rPr>
        <w:t>инструменты и механизмы федеральной бюджетной политики, направленные на развитие системы межбюджетных отношений с регионами и пространственное развитие:</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lastRenderedPageBreak/>
        <w:t>в рамках стимулирования социально-экономического развития, оказания финансовой поддержки регионам и повышения ответственности при планировании, исполнении региональных бюджетов и осуществлении долговой политики:</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списание двух третей задолженности регионов по бюджетным кредитам при условии целевого направления высвобождающихся средств на реализацию инфраструктурных проектов и поддержку инвестиций;</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продолжение предоставления субъектам Российской Федерации бюджетных кредитов на реализацию инфраструктурных проектов, в том числе для реализации ранее одобренных Правительством Российской Федерации проектов;</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развитие системы контроля за достижением целевых показателей инфраструктурных проектов, в том числе с использованием ГИИС «Электронный бюджет»;</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определение мер ответственности за недостижение ключевых показателей инфраструктурных проектов за счет средств целевых бюджетных кредитов инвестиционного характера, а также за несоблюдение сроков реализации проектов за счет средств указанных бюджетных кредитов, предоставленных в 2021-2024 годах;</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i/>
          <w:sz w:val="28"/>
          <w:szCs w:val="28"/>
          <w:lang w:eastAsia="ru-RU"/>
        </w:rPr>
      </w:pPr>
      <w:r w:rsidRPr="00ED6862">
        <w:rPr>
          <w:rFonts w:ascii="Times New Roman" w:eastAsia="Times New Roman" w:hAnsi="Times New Roman" w:cs="Times New Roman"/>
          <w:i/>
          <w:sz w:val="28"/>
          <w:szCs w:val="28"/>
          <w:lang w:eastAsia="ru-RU"/>
        </w:rPr>
        <w:t>в целях стимулирования пространственного развития:</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благоустройство общественных территорий и реализация в малых городах и исторических поселениях лучших проектов создания комфортной городской среды;</w:t>
      </w:r>
    </w:p>
    <w:p w:rsidR="00D14CB1" w:rsidRPr="00ED6862" w:rsidRDefault="00D14CB1"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формирование перечня опорных населенных пунктов, включающего в себя не менее 2 тысяч городов, городских агломераций и сельских населенных пунктов и приоритетное направление на их развитие бюджетных кредитов, предоставляемых на финансовое обеспечение реализации инфраструктурных проектов, и средств, высвобождающихся в связи со списанием двух третей задолженности субъектов Российской Федерации по бюджетным кредитам.</w:t>
      </w:r>
    </w:p>
    <w:p w:rsidR="001648BC" w:rsidRPr="00ED6862" w:rsidRDefault="001648BC" w:rsidP="004E10B5">
      <w:pPr>
        <w:spacing w:after="0" w:line="240" w:lineRule="auto"/>
        <w:ind w:firstLine="709"/>
        <w:jc w:val="both"/>
        <w:textAlignment w:val="baseline"/>
        <w:rPr>
          <w:rFonts w:ascii="Arial" w:eastAsia="Times New Roman" w:hAnsi="Arial" w:cs="Arial"/>
          <w:b/>
          <w:bCs/>
          <w:sz w:val="16"/>
          <w:szCs w:val="16"/>
          <w:lang w:eastAsia="ru-RU"/>
        </w:rPr>
      </w:pPr>
    </w:p>
    <w:p w:rsidR="003A20FB" w:rsidRPr="00ED6862" w:rsidRDefault="003A20FB" w:rsidP="004E10B5">
      <w:pPr>
        <w:spacing w:after="0" w:line="240" w:lineRule="auto"/>
        <w:ind w:firstLine="709"/>
        <w:jc w:val="both"/>
        <w:textAlignment w:val="baseline"/>
        <w:rPr>
          <w:rFonts w:ascii="Arial" w:eastAsia="Times New Roman" w:hAnsi="Arial" w:cs="Arial"/>
          <w:b/>
          <w:bCs/>
          <w:sz w:val="16"/>
          <w:szCs w:val="16"/>
          <w:lang w:eastAsia="ru-RU"/>
        </w:rPr>
      </w:pPr>
    </w:p>
    <w:p w:rsidR="003A20FB" w:rsidRPr="00ED6862" w:rsidRDefault="00EC33E5"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Реализация проектов социально-экономического развития</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rPr>
        <w:t>В соответствии с Посланием Президента России от 29.02.2024 г. поручено продлить реализацию мероприятий Индивидуальной программа социально-экономического развития Республики Тыва на 2025-2030 годы (далее - ИПСЭР).</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 xml:space="preserve"> В индивидуальной программе социально-экономического развития Республики Тыва </w:t>
      </w:r>
      <w:r w:rsidRPr="00EC33E5">
        <w:rPr>
          <w:rFonts w:ascii="Times New Roman" w:eastAsia="Times New Roman" w:hAnsi="Times New Roman" w:cs="Times New Roman"/>
          <w:sz w:val="28"/>
          <w:szCs w:val="28"/>
        </w:rPr>
        <w:t>на 2025-2030 годы</w:t>
      </w:r>
      <w:r w:rsidRPr="00EC33E5">
        <w:rPr>
          <w:rFonts w:ascii="Times New Roman" w:eastAsia="Times New Roman" w:hAnsi="Times New Roman" w:cs="Times New Roman"/>
          <w:sz w:val="28"/>
          <w:szCs w:val="28"/>
          <w:lang w:eastAsia="ru-RU"/>
        </w:rPr>
        <w:t xml:space="preserve"> определены 8 мероприятий по следующим направлениям развития: снятие инфраструктурных ограничений, обеспечение опережающих темпов экономического развития, поддержка промышленности, агропромышленного комплекса и создание условий для развития малого и среднего предпринимательств.</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Ежегодно республике выделяется по 1 млрд. рублей до 2030 года на реализацию важных для региона проектов, направленных на развитие промышленности, инфраструктуры, ускорения роста показателей качества жизни населения.</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lastRenderedPageBreak/>
        <w:t>Общий объем финансирования на реализацию мероприятий за весь период составляет 6 060,6 млн. рублей, из них за счет федерального бюджета – 6 000 млн. рублей, за счет софинансирования республиканского бюджета – 60,6 млн. рублей. В результате реализации мероприятий ИПСЭР на 2025-2030 гг. ожидается увеличение внебюджетных инвестиций свыше 14,8 млрд. рублей, создание порядка 1,8 тыс. новых рабочих мест.</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На реализацию мероприятий по ИПСЭР на 2025 год запланировано 1 010,1 млн. рублей (ФБ – 1 000,0 млн. рублей, РБ – 10,1 млн. рублей), в том числе на следующие мероприятия:</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1. по линии Агентства по туризму РТ на поддержку проектов в сфере туризма, в том числе строительство обеспечивающей инфраструктуры предусмотрено 380 млн. рублей (ФБ – 376,2 млн. рублей, РБ – 3,8 млн. рублей);</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2. по линии Министерства сельского хозяйства и продовольствия РТ на докапитализацию Фонда развития фермерского бизнеса и сельскохозяйственной кооперации Республики Тыва предусмотрено 84,1 млн. рублей (ФБ – 83,3 млн. рублей, РБ – 8 млн. рублей);</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3. по линии Министерства строительства РТ предусмотрено 298,8 млн. рублей (ФБ – 295,8 млн. рублей, РБ – 3 млн. рублей), в том числе по мероприятиям:</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 Организация производства строительных материалов - 118,8 млн. рублей (ФБ – 117,6 млн. рублей, РБ – 1,2 млн. рублей);</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 Подготовка градостроительной документации, проектирование инженерной инфраструктуры для жилищного строительства, социальной сферы сельской агломерации – 180 млн. рублей (ФБ – 178,2 млн. рублей, РБ – 1,8 млн. рублей);</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4. по линии Министерства экономического развития и промышленности РТ предусмотрено 247,2 млн. рублей (ФБ – 244,7 млн. рублей, РБ – 2,5 млн. рублей), в том числе по мероприятиям:</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1. Докапитализация Фонда развития Республики Тыва для обеспечения возможности поддержки крупных инвестиционных проектов – 107,2 млн. рублей (ФБ – 106,1 млн. рублей, РБ – 1,1 млн. рублей);</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2. Создание инфраструктуры для особой экономической зоны и промышленных (индустриальных) парков – 140 млн. рублей (ФБ – 138,6 млн. рублей, РБ – 1,4 млн. рублей).</w:t>
      </w:r>
    </w:p>
    <w:p w:rsidR="003A20FB" w:rsidRPr="00EC33E5" w:rsidRDefault="003A20FB" w:rsidP="003A20FB">
      <w:pPr>
        <w:tabs>
          <w:tab w:val="left" w:pos="889"/>
        </w:tabs>
        <w:spacing w:after="0" w:line="240" w:lineRule="auto"/>
        <w:ind w:firstLine="709"/>
        <w:jc w:val="both"/>
        <w:rPr>
          <w:rFonts w:ascii="Times New Roman" w:eastAsia="Times New Roman" w:hAnsi="Times New Roman" w:cs="Times New Roman"/>
          <w:sz w:val="28"/>
          <w:szCs w:val="28"/>
        </w:rPr>
      </w:pPr>
      <w:r w:rsidRPr="00EC33E5">
        <w:rPr>
          <w:rFonts w:ascii="Times New Roman" w:eastAsia="Times New Roman" w:hAnsi="Times New Roman" w:cs="Times New Roman"/>
          <w:sz w:val="28"/>
          <w:szCs w:val="28"/>
        </w:rPr>
        <w:t xml:space="preserve">Распоряжением Правительства Российской Федерации от 10.04.2020 г. № 972-р, утверждена Индивидуальная программа социально-экономического развития Республики Тыва на 2020-2024 годы. Общий объем финансирования на реализацию мероприятий </w:t>
      </w:r>
      <w:r w:rsidRPr="00EC33E5">
        <w:rPr>
          <w:rFonts w:ascii="Times New Roman" w:eastAsia="Times New Roman" w:hAnsi="Times New Roman" w:cs="Times New Roman"/>
          <w:b/>
          <w:sz w:val="28"/>
          <w:szCs w:val="28"/>
        </w:rPr>
        <w:t xml:space="preserve">за </w:t>
      </w:r>
      <w:r w:rsidRPr="00EC33E5">
        <w:rPr>
          <w:rFonts w:ascii="Times New Roman" w:eastAsia="Times New Roman" w:hAnsi="Times New Roman" w:cs="Times New Roman"/>
          <w:sz w:val="28"/>
          <w:szCs w:val="28"/>
        </w:rPr>
        <w:t xml:space="preserve">2020-2024 годы составляет </w:t>
      </w:r>
      <w:r w:rsidRPr="00EC33E5">
        <w:rPr>
          <w:rFonts w:ascii="Times New Roman" w:eastAsia="Times New Roman" w:hAnsi="Times New Roman" w:cs="Times New Roman"/>
          <w:b/>
          <w:sz w:val="28"/>
          <w:szCs w:val="28"/>
        </w:rPr>
        <w:t>5 050,5 млн. рублей</w:t>
      </w:r>
      <w:r w:rsidRPr="00EC33E5">
        <w:rPr>
          <w:rFonts w:ascii="Times New Roman" w:eastAsia="Times New Roman" w:hAnsi="Times New Roman" w:cs="Times New Roman"/>
          <w:sz w:val="28"/>
          <w:szCs w:val="28"/>
        </w:rPr>
        <w:t xml:space="preserve"> (ФБ - 5 000 млн. рублей, РБ – 50,5 млн. </w:t>
      </w:r>
      <w:r w:rsidRPr="00EC33E5">
        <w:rPr>
          <w:rFonts w:ascii="Times New Roman" w:eastAsia="Times New Roman" w:hAnsi="Times New Roman" w:cs="Times New Roman"/>
          <w:sz w:val="32"/>
          <w:szCs w:val="28"/>
        </w:rPr>
        <w:t>рублей)</w:t>
      </w:r>
      <w:r w:rsidRPr="00EC33E5">
        <w:rPr>
          <w:rFonts w:ascii="Times New Roman" w:eastAsia="Times New Roman" w:hAnsi="Times New Roman" w:cs="Times New Roman"/>
          <w:sz w:val="28"/>
          <w:szCs w:val="28"/>
        </w:rPr>
        <w:t xml:space="preserve">. </w:t>
      </w:r>
    </w:p>
    <w:p w:rsidR="003A20FB" w:rsidRPr="00EC33E5" w:rsidRDefault="003A20FB" w:rsidP="003A20FB">
      <w:pPr>
        <w:spacing w:after="0" w:line="240" w:lineRule="auto"/>
        <w:ind w:firstLine="709"/>
        <w:jc w:val="both"/>
        <w:textAlignment w:val="baseline"/>
        <w:rPr>
          <w:rFonts w:ascii="Times New Roman" w:eastAsia="Times New Roman" w:hAnsi="Times New Roman" w:cs="Times New Roman"/>
          <w:sz w:val="28"/>
          <w:szCs w:val="28"/>
          <w:lang w:eastAsia="ru-RU"/>
        </w:rPr>
      </w:pPr>
      <w:r w:rsidRPr="00EC33E5">
        <w:rPr>
          <w:rFonts w:ascii="Times New Roman" w:eastAsia="Times New Roman" w:hAnsi="Times New Roman" w:cs="Times New Roman"/>
          <w:sz w:val="28"/>
          <w:szCs w:val="28"/>
          <w:lang w:eastAsia="ru-RU"/>
        </w:rPr>
        <w:t xml:space="preserve">За период </w:t>
      </w:r>
      <w:r w:rsidRPr="00EC33E5">
        <w:rPr>
          <w:rFonts w:ascii="Times New Roman" w:eastAsia="Times New Roman" w:hAnsi="Times New Roman" w:cs="Times New Roman"/>
          <w:sz w:val="28"/>
          <w:szCs w:val="28"/>
        </w:rPr>
        <w:t>2020-2024 годы</w:t>
      </w:r>
      <w:r w:rsidRPr="00EC33E5">
        <w:rPr>
          <w:rFonts w:ascii="Times New Roman" w:eastAsia="Times New Roman" w:hAnsi="Times New Roman" w:cs="Times New Roman"/>
          <w:sz w:val="28"/>
          <w:szCs w:val="28"/>
          <w:lang w:eastAsia="ru-RU"/>
        </w:rPr>
        <w:t xml:space="preserve"> в рамках индивидуальной программы социально-экономического развития Республики Тыва бюджетные средства направлены на развитие отраслей экономики, из которых наиболее крупные проекты – мероприятия по организации производства и переработки сельскохозяйственной </w:t>
      </w:r>
      <w:r w:rsidRPr="00EC33E5">
        <w:rPr>
          <w:rFonts w:ascii="Times New Roman" w:eastAsia="Times New Roman" w:hAnsi="Times New Roman" w:cs="Times New Roman"/>
          <w:sz w:val="28"/>
          <w:szCs w:val="28"/>
          <w:lang w:eastAsia="ru-RU"/>
        </w:rPr>
        <w:lastRenderedPageBreak/>
        <w:t>продукции, создание санаторно-курортного и оздоровительного комплекса «Чедер», создание логистического центра «Хандагайты», реализация проектов в сфере туризма, организация производства строительных материалов.</w:t>
      </w:r>
    </w:p>
    <w:p w:rsidR="003A20FB" w:rsidRPr="00EC33E5" w:rsidRDefault="003A20FB" w:rsidP="004E10B5">
      <w:pPr>
        <w:spacing w:after="0" w:line="240" w:lineRule="auto"/>
        <w:ind w:firstLine="709"/>
        <w:jc w:val="both"/>
        <w:textAlignment w:val="baseline"/>
        <w:rPr>
          <w:rFonts w:ascii="Times New Roman" w:eastAsia="Times New Roman" w:hAnsi="Times New Roman" w:cs="Times New Roman"/>
          <w:sz w:val="28"/>
          <w:szCs w:val="28"/>
          <w:lang w:eastAsia="ru-RU"/>
        </w:rPr>
      </w:pPr>
    </w:p>
    <w:p w:rsidR="001648BC" w:rsidRPr="00ED6862" w:rsidRDefault="00EC33E5" w:rsidP="004E10B5">
      <w:pPr>
        <w:spacing w:after="0" w:line="240" w:lineRule="auto"/>
        <w:ind w:firstLine="709"/>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Содействие комплексному развитию муниципальных образований Республики Тыва</w:t>
      </w:r>
    </w:p>
    <w:p w:rsidR="00A501FD" w:rsidRPr="00ED6862" w:rsidRDefault="00A501FD" w:rsidP="004E10B5">
      <w:pPr>
        <w:spacing w:after="0" w:line="240" w:lineRule="auto"/>
        <w:ind w:firstLine="709"/>
        <w:jc w:val="both"/>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В рамках межбюджетных отношений муниципальным образованиям Республики Тыва направляются ресурсы для эффективного участия в реализации национальных целей развития страны, на развитие социальной сферы и отраслей экономики, финансирование объектов капитального строительства, развитие материально-технической базы муниципальных учреждений и по другим направлениям. </w:t>
      </w:r>
    </w:p>
    <w:p w:rsidR="00A501FD" w:rsidRPr="00ED6862" w:rsidRDefault="00A501FD" w:rsidP="004E10B5">
      <w:pPr>
        <w:spacing w:after="0" w:line="240" w:lineRule="auto"/>
        <w:ind w:firstLine="709"/>
        <w:jc w:val="both"/>
        <w:textAlignment w:val="baseline"/>
        <w:rPr>
          <w:rFonts w:ascii="Times New Roman" w:eastAsia="Calibri" w:hAnsi="Times New Roman" w:cs="Times New Roman"/>
          <w:sz w:val="28"/>
          <w:szCs w:val="28"/>
        </w:rPr>
      </w:pPr>
      <w:r w:rsidRPr="00ED6862">
        <w:rPr>
          <w:rFonts w:ascii="Times New Roman" w:eastAsia="Calibri" w:hAnsi="Times New Roman" w:cs="Times New Roman"/>
          <w:sz w:val="28"/>
          <w:szCs w:val="28"/>
        </w:rPr>
        <w:t>В рамках межбюджетных отношений будут реализованы решения, на</w:t>
      </w:r>
      <w:r w:rsidR="00A96DEF" w:rsidRPr="00ED6862">
        <w:rPr>
          <w:rFonts w:ascii="Times New Roman" w:eastAsia="Calibri" w:hAnsi="Times New Roman" w:cs="Times New Roman"/>
          <w:sz w:val="28"/>
          <w:szCs w:val="28"/>
        </w:rPr>
        <w:t>пр</w:t>
      </w:r>
      <w:r w:rsidRPr="00ED6862">
        <w:rPr>
          <w:rFonts w:ascii="Times New Roman" w:eastAsia="Calibri" w:hAnsi="Times New Roman" w:cs="Times New Roman"/>
          <w:sz w:val="28"/>
          <w:szCs w:val="28"/>
        </w:rPr>
        <w:t>авленные на поддержание финансовой устойчивости, сбалансированности и самостоятельности местных бюджетов, снижение рисков неисполнения первоочередных расходных обязательств.</w:t>
      </w:r>
    </w:p>
    <w:p w:rsidR="00A501FD" w:rsidRPr="00ED6862" w:rsidRDefault="00A501FD" w:rsidP="004E10B5">
      <w:pPr>
        <w:spacing w:after="0" w:line="240" w:lineRule="auto"/>
        <w:ind w:firstLine="709"/>
        <w:jc w:val="both"/>
        <w:textAlignment w:val="baseline"/>
        <w:rPr>
          <w:rFonts w:ascii="Times New Roman" w:eastAsia="Calibri" w:hAnsi="Times New Roman" w:cs="Times New Roman"/>
          <w:sz w:val="28"/>
          <w:szCs w:val="28"/>
        </w:rPr>
      </w:pPr>
      <w:r w:rsidRPr="00ED6862">
        <w:rPr>
          <w:rFonts w:ascii="Times New Roman" w:eastAsia="Calibri" w:hAnsi="Times New Roman" w:cs="Times New Roman"/>
          <w:sz w:val="28"/>
          <w:szCs w:val="28"/>
        </w:rPr>
        <w:t>Параметры местных бюджетов на 2025–2027 годы будут определяться с учетом разграничения доходов между республиканским бюджетом и бюджетами соответствующих муниципальных образований, межбюджетных трансфертов из республиканского бюджета (в том числе за счет федеральных средств), роста собственной доходной базы.</w:t>
      </w:r>
    </w:p>
    <w:p w:rsidR="00A96DEF" w:rsidRPr="00ED6862" w:rsidRDefault="00A96DEF" w:rsidP="004E10B5">
      <w:pPr>
        <w:spacing w:after="0" w:line="240" w:lineRule="auto"/>
        <w:ind w:firstLine="709"/>
        <w:jc w:val="both"/>
        <w:textAlignment w:val="baseline"/>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Предусмотрено сохранение действующих мер государственной поддержки муниципальных образований Республики Тыва, способствующих укреплению финансовой основы местных бюджетов. </w:t>
      </w:r>
    </w:p>
    <w:p w:rsidR="00A501FD" w:rsidRPr="00ED6862" w:rsidRDefault="00A501FD" w:rsidP="004E10B5">
      <w:pPr>
        <w:spacing w:after="0" w:line="240" w:lineRule="auto"/>
        <w:ind w:firstLine="709"/>
        <w:jc w:val="both"/>
        <w:textAlignment w:val="baseline"/>
        <w:rPr>
          <w:rFonts w:ascii="Times New Roman" w:eastAsia="Calibri" w:hAnsi="Times New Roman" w:cs="Times New Roman"/>
          <w:sz w:val="28"/>
          <w:szCs w:val="28"/>
        </w:rPr>
      </w:pPr>
      <w:r w:rsidRPr="00ED6862">
        <w:rPr>
          <w:rFonts w:ascii="Times New Roman" w:eastAsia="Calibri" w:hAnsi="Times New Roman" w:cs="Times New Roman"/>
          <w:sz w:val="28"/>
          <w:szCs w:val="28"/>
        </w:rPr>
        <w:t xml:space="preserve">Исполнение местных бюджетов будет осуществляться с учетом особенностей, установленных проектом федерального закона № 727327-8 «О приостановлении действия отдельных положений Бюджетного кодекса Российской Федерации,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 внесенном в Государственную Думу одновременно с проектом федерального бюджета на 2025-2027 годы. </w:t>
      </w:r>
    </w:p>
    <w:p w:rsidR="00A501FD" w:rsidRPr="00ED6862" w:rsidRDefault="00A501FD" w:rsidP="004E10B5">
      <w:pPr>
        <w:spacing w:after="0" w:line="240" w:lineRule="auto"/>
        <w:ind w:firstLine="709"/>
        <w:jc w:val="both"/>
        <w:textAlignment w:val="baseline"/>
        <w:rPr>
          <w:rFonts w:ascii="Times New Roman" w:eastAsia="Calibri" w:hAnsi="Times New Roman" w:cs="Times New Roman"/>
          <w:sz w:val="28"/>
          <w:szCs w:val="28"/>
        </w:rPr>
      </w:pPr>
      <w:r w:rsidRPr="00ED6862">
        <w:rPr>
          <w:rFonts w:ascii="Times New Roman" w:eastAsia="Calibri" w:hAnsi="Times New Roman" w:cs="Times New Roman"/>
          <w:sz w:val="28"/>
          <w:szCs w:val="28"/>
        </w:rPr>
        <w:t>Положительным образом на финансовых показателях местных бюджетов отражаются нижеперечисленные решения.</w:t>
      </w:r>
    </w:p>
    <w:p w:rsidR="00D14CB1" w:rsidRPr="00ED6862" w:rsidRDefault="00D14CB1" w:rsidP="004E10B5">
      <w:pPr>
        <w:spacing w:after="0" w:line="240" w:lineRule="auto"/>
        <w:ind w:firstLine="709"/>
        <w:jc w:val="both"/>
        <w:rPr>
          <w:rFonts w:ascii="Times New Roman" w:eastAsia="Calibri" w:hAnsi="Times New Roman" w:cs="Times New Roman"/>
          <w:b/>
          <w:sz w:val="28"/>
          <w:szCs w:val="28"/>
        </w:rPr>
      </w:pPr>
    </w:p>
    <w:p w:rsidR="001E4B66" w:rsidRPr="00ED6862" w:rsidRDefault="004C096C" w:rsidP="004E10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Повышение эффективности бюджетных расходов</w:t>
      </w:r>
    </w:p>
    <w:p w:rsidR="00F73F83" w:rsidRPr="00ED6862" w:rsidRDefault="002D1A98" w:rsidP="004E10B5">
      <w:pPr>
        <w:spacing w:after="0" w:line="240" w:lineRule="auto"/>
        <w:ind w:firstLine="709"/>
        <w:jc w:val="both"/>
        <w:textAlignment w:val="baseline"/>
        <w:rPr>
          <w:rFonts w:ascii="Times New Roman" w:eastAsia="Calibri" w:hAnsi="Times New Roman" w:cs="Times New Roman"/>
          <w:sz w:val="28"/>
          <w:szCs w:val="28"/>
        </w:rPr>
      </w:pPr>
      <w:r w:rsidRPr="00ED6862">
        <w:rPr>
          <w:rFonts w:ascii="Times New Roman" w:eastAsia="Calibri" w:hAnsi="Times New Roman" w:cs="Times New Roman"/>
          <w:sz w:val="28"/>
          <w:szCs w:val="28"/>
        </w:rPr>
        <w:t>Планируемые к реализации в предстоящие 6 лет меры по повышению эффективности бюджетных расходов будут представлены в разрабатываемой на федеральном уровне Концепции повышения эффективности бюджетных расходов на период до 2030 года. Действующий аналогичный документ (Концепция повышения эффективности бюджетных расходов в 2019–2024 годах) завершается в текущем году.</w:t>
      </w:r>
    </w:p>
    <w:p w:rsidR="004E0019" w:rsidRPr="00ED6862" w:rsidRDefault="004E0019"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lastRenderedPageBreak/>
        <w:t>В условиях геополитическ</w:t>
      </w:r>
      <w:r w:rsidR="00AA02E4" w:rsidRPr="00ED6862">
        <w:rPr>
          <w:rFonts w:ascii="Times New Roman" w:eastAsia="Times New Roman" w:hAnsi="Times New Roman" w:cs="Times New Roman"/>
          <w:sz w:val="28"/>
          <w:szCs w:val="28"/>
          <w:lang w:eastAsia="ru-RU"/>
        </w:rPr>
        <w:t>ого</w:t>
      </w:r>
      <w:r w:rsidRPr="00ED6862">
        <w:rPr>
          <w:rFonts w:ascii="Times New Roman" w:eastAsia="Times New Roman" w:hAnsi="Times New Roman" w:cs="Times New Roman"/>
          <w:sz w:val="28"/>
          <w:szCs w:val="28"/>
          <w:lang w:eastAsia="ru-RU"/>
        </w:rPr>
        <w:t xml:space="preserve"> обострени</w:t>
      </w:r>
      <w:r w:rsidR="00AA02E4" w:rsidRPr="00ED6862">
        <w:rPr>
          <w:rFonts w:ascii="Times New Roman" w:eastAsia="Times New Roman" w:hAnsi="Times New Roman" w:cs="Times New Roman"/>
          <w:sz w:val="28"/>
          <w:szCs w:val="28"/>
          <w:lang w:eastAsia="ru-RU"/>
        </w:rPr>
        <w:t>я</w:t>
      </w:r>
      <w:r w:rsidRPr="00ED6862">
        <w:rPr>
          <w:rFonts w:ascii="Times New Roman" w:eastAsia="Times New Roman" w:hAnsi="Times New Roman" w:cs="Times New Roman"/>
          <w:sz w:val="28"/>
          <w:szCs w:val="28"/>
          <w:lang w:eastAsia="ru-RU"/>
        </w:rPr>
        <w:t xml:space="preserve"> </w:t>
      </w:r>
      <w:r w:rsidR="0028130F" w:rsidRPr="00ED6862">
        <w:rPr>
          <w:rFonts w:ascii="Times New Roman" w:eastAsia="Times New Roman" w:hAnsi="Times New Roman" w:cs="Times New Roman"/>
          <w:sz w:val="28"/>
          <w:szCs w:val="28"/>
          <w:lang w:eastAsia="ru-RU"/>
        </w:rPr>
        <w:t>для</w:t>
      </w:r>
      <w:r w:rsidRPr="00ED6862">
        <w:rPr>
          <w:rFonts w:ascii="Times New Roman" w:eastAsia="Times New Roman" w:hAnsi="Times New Roman" w:cs="Times New Roman"/>
          <w:sz w:val="28"/>
          <w:szCs w:val="28"/>
          <w:lang w:eastAsia="ru-RU"/>
        </w:rPr>
        <w:t xml:space="preserve"> сохранения сбалансированности </w:t>
      </w:r>
      <w:r w:rsidR="0028130F" w:rsidRPr="00ED6862">
        <w:rPr>
          <w:rFonts w:ascii="Times New Roman" w:eastAsia="Times New Roman" w:hAnsi="Times New Roman" w:cs="Times New Roman"/>
          <w:sz w:val="28"/>
          <w:szCs w:val="28"/>
          <w:lang w:eastAsia="ru-RU"/>
        </w:rPr>
        <w:t>бюджета Республики Тыва и обеспечения благосостояния и качества жизни граждан акценты бюджетной политики сконцентрированы на следующих направлениях:</w:t>
      </w:r>
    </w:p>
    <w:p w:rsidR="00870824" w:rsidRPr="00ED6862" w:rsidRDefault="00B06A39" w:rsidP="004E10B5">
      <w:pPr>
        <w:pStyle w:val="a3"/>
        <w:numPr>
          <w:ilvl w:val="0"/>
          <w:numId w:val="41"/>
        </w:numPr>
        <w:ind w:left="0" w:firstLine="709"/>
        <w:jc w:val="both"/>
        <w:textAlignment w:val="baseline"/>
        <w:rPr>
          <w:rFonts w:eastAsia="Times New Roman"/>
          <w:sz w:val="28"/>
          <w:szCs w:val="28"/>
          <w:lang w:eastAsia="ru-RU"/>
        </w:rPr>
      </w:pPr>
      <w:r w:rsidRPr="00ED6862">
        <w:rPr>
          <w:rFonts w:eastAsia="Times New Roman"/>
          <w:i/>
          <w:sz w:val="28"/>
          <w:szCs w:val="28"/>
          <w:lang w:eastAsia="ru-RU"/>
        </w:rPr>
        <w:t xml:space="preserve">гарантированное исполнение </w:t>
      </w:r>
      <w:r w:rsidR="00870824" w:rsidRPr="00ED6862">
        <w:rPr>
          <w:rFonts w:eastAsia="Times New Roman"/>
          <w:i/>
          <w:sz w:val="28"/>
          <w:szCs w:val="28"/>
          <w:lang w:eastAsia="ru-RU"/>
        </w:rPr>
        <w:t xml:space="preserve">социальных и </w:t>
      </w:r>
      <w:r w:rsidRPr="00ED6862">
        <w:rPr>
          <w:rFonts w:eastAsia="Times New Roman"/>
          <w:i/>
          <w:sz w:val="28"/>
          <w:szCs w:val="28"/>
          <w:lang w:eastAsia="ru-RU"/>
        </w:rPr>
        <w:t>первоочередных обязательств Республики Тыва</w:t>
      </w:r>
      <w:r w:rsidR="00E608C9" w:rsidRPr="00ED6862">
        <w:rPr>
          <w:rFonts w:eastAsia="Times New Roman"/>
          <w:sz w:val="28"/>
          <w:szCs w:val="28"/>
          <w:lang w:eastAsia="ru-RU"/>
        </w:rPr>
        <w:t xml:space="preserve"> – по фонду оплату труда</w:t>
      </w:r>
      <w:r w:rsidR="00E76AE1" w:rsidRPr="00ED6862">
        <w:rPr>
          <w:rFonts w:eastAsia="Times New Roman"/>
          <w:sz w:val="28"/>
          <w:szCs w:val="28"/>
          <w:lang w:eastAsia="ru-RU"/>
        </w:rPr>
        <w:t xml:space="preserve"> с учетом </w:t>
      </w:r>
    </w:p>
    <w:p w:rsidR="00870824" w:rsidRPr="00ED6862" w:rsidRDefault="00870824" w:rsidP="004E10B5">
      <w:pPr>
        <w:pStyle w:val="a3"/>
        <w:ind w:left="0" w:firstLine="709"/>
        <w:jc w:val="both"/>
        <w:textAlignment w:val="baseline"/>
        <w:rPr>
          <w:rFonts w:eastAsia="Times New Roman"/>
          <w:sz w:val="28"/>
          <w:szCs w:val="28"/>
          <w:lang w:eastAsia="ru-RU"/>
        </w:rPr>
      </w:pPr>
      <w:r w:rsidRPr="00ED6862">
        <w:rPr>
          <w:rFonts w:eastAsia="Times New Roman"/>
          <w:sz w:val="28"/>
          <w:szCs w:val="28"/>
          <w:lang w:eastAsia="ru-RU"/>
        </w:rPr>
        <w:t xml:space="preserve">ежегодно принимаемых на федеральном уровне решений о </w:t>
      </w:r>
      <w:r w:rsidR="00E76AE1" w:rsidRPr="00ED6862">
        <w:rPr>
          <w:rFonts w:eastAsia="Times New Roman"/>
          <w:sz w:val="28"/>
          <w:szCs w:val="28"/>
          <w:lang w:eastAsia="ru-RU"/>
        </w:rPr>
        <w:t>повышени</w:t>
      </w:r>
      <w:r w:rsidRPr="00ED6862">
        <w:rPr>
          <w:rFonts w:eastAsia="Times New Roman"/>
          <w:sz w:val="28"/>
          <w:szCs w:val="28"/>
          <w:lang w:eastAsia="ru-RU"/>
        </w:rPr>
        <w:t>и уровня МРОТ.</w:t>
      </w:r>
    </w:p>
    <w:p w:rsidR="00E76AE1" w:rsidRPr="00ED6862" w:rsidRDefault="00870824" w:rsidP="004E10B5">
      <w:pPr>
        <w:pStyle w:val="a3"/>
        <w:ind w:left="0" w:firstLine="709"/>
        <w:jc w:val="both"/>
        <w:textAlignment w:val="baseline"/>
        <w:rPr>
          <w:rFonts w:eastAsia="Times New Roman"/>
          <w:sz w:val="28"/>
          <w:szCs w:val="28"/>
          <w:lang w:eastAsia="ru-RU"/>
        </w:rPr>
      </w:pPr>
      <w:r w:rsidRPr="00ED6862">
        <w:rPr>
          <w:rFonts w:eastAsia="Times New Roman"/>
          <w:sz w:val="28"/>
          <w:szCs w:val="28"/>
          <w:lang w:eastAsia="ru-RU"/>
        </w:rPr>
        <w:t>С</w:t>
      </w:r>
      <w:r w:rsidR="00E76AE1" w:rsidRPr="00ED6862">
        <w:rPr>
          <w:rFonts w:eastAsia="Times New Roman"/>
          <w:sz w:val="28"/>
          <w:szCs w:val="28"/>
          <w:lang w:eastAsia="ru-RU"/>
        </w:rPr>
        <w:t xml:space="preserve"> 1 января 2024 года минимального р</w:t>
      </w:r>
      <w:r w:rsidRPr="00ED6862">
        <w:rPr>
          <w:rFonts w:eastAsia="Times New Roman"/>
          <w:sz w:val="28"/>
          <w:szCs w:val="28"/>
          <w:lang w:eastAsia="ru-RU"/>
        </w:rPr>
        <w:t xml:space="preserve">азмера оплаты труда – на 18,5% </w:t>
      </w:r>
      <w:r w:rsidR="00E76AE1" w:rsidRPr="00ED6862">
        <w:rPr>
          <w:rFonts w:eastAsia="Times New Roman"/>
          <w:sz w:val="28"/>
          <w:szCs w:val="28"/>
          <w:lang w:eastAsia="ru-RU"/>
        </w:rPr>
        <w:t>(</w:t>
      </w:r>
      <w:r w:rsidRPr="00ED6862">
        <w:rPr>
          <w:rFonts w:eastAsia="Times New Roman"/>
          <w:sz w:val="28"/>
          <w:szCs w:val="28"/>
          <w:lang w:eastAsia="ru-RU"/>
        </w:rPr>
        <w:t xml:space="preserve">с 30 860 до 36 560 рублей); </w:t>
      </w:r>
      <w:r w:rsidR="00E76AE1" w:rsidRPr="00ED6862">
        <w:rPr>
          <w:rFonts w:eastAsia="Times New Roman"/>
          <w:sz w:val="28"/>
          <w:szCs w:val="28"/>
          <w:lang w:eastAsia="ru-RU"/>
        </w:rPr>
        <w:t>с учетом повышения с 1 января 2024 года оплаты труда «указных» категорий работников – на 9,6%; средняя зарплата увеличится с  46 240 до 50 675 рублей (по данным прогноза СЭР).</w:t>
      </w:r>
    </w:p>
    <w:p w:rsidR="00133C0D" w:rsidRPr="00ED6862" w:rsidRDefault="00133C0D" w:rsidP="004E10B5">
      <w:pPr>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2. </w:t>
      </w:r>
      <w:r w:rsidRPr="00ED6862">
        <w:rPr>
          <w:rFonts w:ascii="Times New Roman" w:eastAsia="Times New Roman" w:hAnsi="Times New Roman" w:cs="Times New Roman"/>
          <w:i/>
          <w:sz w:val="28"/>
          <w:szCs w:val="28"/>
          <w:lang w:eastAsia="ru-RU"/>
        </w:rPr>
        <w:t>оптимизации и приоритизации инвестиционных расходов, использование всех инструментов инфраструктурного меню, разработанных на федеральном уровне</w:t>
      </w:r>
      <w:r w:rsidRPr="00ED6862">
        <w:rPr>
          <w:rFonts w:ascii="Times New Roman" w:eastAsia="Times New Roman" w:hAnsi="Times New Roman" w:cs="Times New Roman"/>
          <w:sz w:val="28"/>
          <w:szCs w:val="28"/>
          <w:lang w:eastAsia="ru-RU"/>
        </w:rPr>
        <w:t xml:space="preserve"> – из существующих всех механизмов поддержки инфраструктурного меню Республика Тыва участвует в реализации инструмента «Инфраструктурные бюджетные кредиты», в рамках которого предоставляются федеральные средства на возвратной основе по ставке 3% годовых на 15 лет. Приоритетными для финансирования проектами являются обновление системы жилищно-коммунального хозяйства (в том числе строительство, реконструкция сетей и сооружений предприятий водопроводно-канализационного хозяйства), строительство автомобильных дорог, комплексное развитие территорий, создание объектов туристической индустрии.</w:t>
      </w:r>
    </w:p>
    <w:p w:rsidR="0049271D" w:rsidRPr="00ED6862" w:rsidRDefault="0049271D" w:rsidP="004E10B5">
      <w:pPr>
        <w:spacing w:after="0" w:line="240" w:lineRule="auto"/>
        <w:ind w:firstLine="709"/>
        <w:rPr>
          <w:rFonts w:ascii="Times New Roman" w:hAnsi="Times New Roman" w:cs="Times New Roman"/>
          <w:b/>
          <w:sz w:val="28"/>
          <w:szCs w:val="28"/>
        </w:rPr>
      </w:pPr>
      <w:r w:rsidRPr="00ED6862">
        <w:rPr>
          <w:rFonts w:ascii="Times New Roman" w:hAnsi="Times New Roman" w:cs="Times New Roman"/>
          <w:b/>
          <w:sz w:val="28"/>
          <w:szCs w:val="28"/>
        </w:rPr>
        <w:t>Меры инфраструктурной поддержки</w:t>
      </w:r>
    </w:p>
    <w:p w:rsidR="0049271D" w:rsidRPr="00ED6862" w:rsidRDefault="0049271D"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Из 8-ми мер инфраструктурной поддержки Республика Тыва участвует в 6 направлениях развития инфраструктурных проектов на общую сумму 3 238,1 млн. рублей, в том числе 5 действующих:</w:t>
      </w:r>
    </w:p>
    <w:p w:rsidR="0049271D" w:rsidRPr="00ED6862" w:rsidRDefault="0049271D" w:rsidP="004E10B5">
      <w:pPr>
        <w:spacing w:after="0" w:line="240" w:lineRule="auto"/>
        <w:ind w:firstLine="709"/>
        <w:jc w:val="both"/>
        <w:rPr>
          <w:rFonts w:ascii="Times New Roman" w:hAnsi="Times New Roman" w:cs="Times New Roman"/>
          <w:b/>
          <w:sz w:val="28"/>
          <w:szCs w:val="28"/>
        </w:rPr>
      </w:pPr>
      <w:r w:rsidRPr="00ED6862">
        <w:rPr>
          <w:rFonts w:ascii="Times New Roman" w:hAnsi="Times New Roman" w:cs="Times New Roman"/>
          <w:b/>
          <w:sz w:val="28"/>
          <w:szCs w:val="28"/>
        </w:rPr>
        <w:t>Инфраструктурный бюджетный кредит</w:t>
      </w:r>
    </w:p>
    <w:p w:rsidR="0049271D" w:rsidRPr="00ED6862" w:rsidRDefault="0049271D"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Республика Тыва участвует в реализации нового инструмента регионального развития – привлечение инфраструктурного бюджетного кредита. Механизм был запущен в Российской Федерации с 2021 года – из федерального бюджета предоставляются бюджетные кредиты на возвратной основе по ставке 3% годовых сроком на 15 лет. Приоритетными для финансирования проектами являются обновление системы жилищно-коммунального хозяйства (в том числе строительство, реконструкция сетей и сооружений предприятий водопроводно-канализационного хозяйства), строительство автомобильных дорог, комплексное развитие территорий, создание объектов туристической индустрии.</w:t>
      </w:r>
    </w:p>
    <w:p w:rsidR="0049271D" w:rsidRPr="00ED6862" w:rsidRDefault="0049271D" w:rsidP="004E10B5">
      <w:pPr>
        <w:spacing w:after="0" w:line="240" w:lineRule="auto"/>
        <w:ind w:firstLine="709"/>
        <w:jc w:val="both"/>
        <w:rPr>
          <w:rFonts w:ascii="Times New Roman" w:hAnsi="Times New Roman" w:cs="Times New Roman"/>
          <w:sz w:val="28"/>
          <w:szCs w:val="28"/>
          <w:shd w:val="clear" w:color="auto" w:fill="FFFFFF"/>
        </w:rPr>
      </w:pPr>
      <w:r w:rsidRPr="00ED6862">
        <w:rPr>
          <w:rFonts w:ascii="Times New Roman" w:hAnsi="Times New Roman" w:cs="Times New Roman"/>
          <w:sz w:val="28"/>
          <w:szCs w:val="28"/>
          <w:shd w:val="clear" w:color="auto" w:fill="FFFFFF"/>
        </w:rPr>
        <w:t xml:space="preserve">Президиумом (штаба) Правительственной комиссии по региональному развитию субъектов Российской Федерации одобрены </w:t>
      </w:r>
      <w:r w:rsidRPr="00ED6862">
        <w:rPr>
          <w:rFonts w:ascii="Times New Roman" w:hAnsi="Times New Roman" w:cs="Times New Roman"/>
          <w:b/>
          <w:sz w:val="28"/>
          <w:szCs w:val="28"/>
          <w:shd w:val="clear" w:color="auto" w:fill="FFFFFF"/>
        </w:rPr>
        <w:t>4 инфраструктурных проекта</w:t>
      </w:r>
      <w:r w:rsidRPr="00ED6862">
        <w:rPr>
          <w:rFonts w:ascii="Times New Roman" w:hAnsi="Times New Roman" w:cs="Times New Roman"/>
          <w:sz w:val="28"/>
          <w:szCs w:val="28"/>
          <w:shd w:val="clear" w:color="auto" w:fill="FFFFFF"/>
        </w:rPr>
        <w:t xml:space="preserve"> по Республике Тыва (в 2021 году – 3 проекта, в 2022 году – 1 проект) на общую сумму </w:t>
      </w:r>
      <w:r w:rsidRPr="00ED6862">
        <w:rPr>
          <w:rFonts w:ascii="Times New Roman" w:hAnsi="Times New Roman" w:cs="Times New Roman"/>
          <w:b/>
          <w:sz w:val="28"/>
          <w:szCs w:val="28"/>
          <w:shd w:val="clear" w:color="auto" w:fill="FFFFFF"/>
        </w:rPr>
        <w:t xml:space="preserve">1 332 млн. рублей, </w:t>
      </w:r>
      <w:r w:rsidRPr="00ED6862">
        <w:rPr>
          <w:rFonts w:ascii="Times New Roman" w:hAnsi="Times New Roman" w:cs="Times New Roman"/>
          <w:sz w:val="28"/>
          <w:szCs w:val="28"/>
          <w:shd w:val="clear" w:color="auto" w:fill="FFFFFF"/>
        </w:rPr>
        <w:t>в том числе с получением средств ИБК по годам: в 2022 году – 633 млн. рублей, в 2023 году – 307 млн. рублей, в 2024 году – 200 млн. рублей, в 2025 году – 192 млн. рублей.</w:t>
      </w:r>
    </w:p>
    <w:p w:rsidR="0049271D" w:rsidRPr="00ED6862" w:rsidRDefault="0049271D" w:rsidP="004E10B5">
      <w:pPr>
        <w:spacing w:after="0" w:line="240" w:lineRule="auto"/>
        <w:ind w:firstLine="709"/>
        <w:jc w:val="both"/>
        <w:rPr>
          <w:rFonts w:ascii="Times New Roman" w:hAnsi="Times New Roman" w:cs="Times New Roman"/>
          <w:sz w:val="28"/>
          <w:szCs w:val="28"/>
          <w:shd w:val="clear" w:color="auto" w:fill="FFFFFF"/>
        </w:rPr>
      </w:pPr>
      <w:r w:rsidRPr="00ED6862">
        <w:rPr>
          <w:rFonts w:ascii="Times New Roman" w:hAnsi="Times New Roman" w:cs="Times New Roman"/>
          <w:sz w:val="28"/>
          <w:szCs w:val="28"/>
          <w:shd w:val="clear" w:color="auto" w:fill="FFFFFF"/>
        </w:rPr>
        <w:lastRenderedPageBreak/>
        <w:t xml:space="preserve">На 01.10.2024 года получено всего 1 140 млн. рублей, ежегодное обслуживание составило </w:t>
      </w:r>
      <w:r w:rsidR="003D0C02" w:rsidRPr="00ED6862">
        <w:rPr>
          <w:rFonts w:ascii="Times New Roman" w:hAnsi="Times New Roman" w:cs="Times New Roman"/>
          <w:sz w:val="28"/>
          <w:szCs w:val="28"/>
          <w:shd w:val="clear" w:color="auto" w:fill="FFFFFF"/>
        </w:rPr>
        <w:t>32</w:t>
      </w:r>
      <w:r w:rsidRPr="00ED6862">
        <w:rPr>
          <w:rFonts w:ascii="Times New Roman" w:hAnsi="Times New Roman" w:cs="Times New Roman"/>
          <w:sz w:val="28"/>
          <w:szCs w:val="28"/>
          <w:shd w:val="clear" w:color="auto" w:fill="FFFFFF"/>
        </w:rPr>
        <w:t xml:space="preserve"> млн. рублей, погашение основного долга нач</w:t>
      </w:r>
      <w:r w:rsidR="00D03B07" w:rsidRPr="00ED6862">
        <w:rPr>
          <w:rFonts w:ascii="Times New Roman" w:hAnsi="Times New Roman" w:cs="Times New Roman"/>
          <w:sz w:val="28"/>
          <w:szCs w:val="28"/>
          <w:shd w:val="clear" w:color="auto" w:fill="FFFFFF"/>
        </w:rPr>
        <w:t>инается</w:t>
      </w:r>
      <w:r w:rsidRPr="00ED6862">
        <w:rPr>
          <w:rFonts w:ascii="Times New Roman" w:hAnsi="Times New Roman" w:cs="Times New Roman"/>
          <w:sz w:val="28"/>
          <w:szCs w:val="28"/>
          <w:shd w:val="clear" w:color="auto" w:fill="FFFFFF"/>
        </w:rPr>
        <w:t xml:space="preserve"> с 202</w:t>
      </w:r>
      <w:r w:rsidR="003D0C02" w:rsidRPr="00ED6862">
        <w:rPr>
          <w:rFonts w:ascii="Times New Roman" w:hAnsi="Times New Roman" w:cs="Times New Roman"/>
          <w:sz w:val="28"/>
          <w:szCs w:val="28"/>
          <w:shd w:val="clear" w:color="auto" w:fill="FFFFFF"/>
        </w:rPr>
        <w:t>4</w:t>
      </w:r>
      <w:r w:rsidRPr="00ED6862">
        <w:rPr>
          <w:rFonts w:ascii="Times New Roman" w:hAnsi="Times New Roman" w:cs="Times New Roman"/>
          <w:sz w:val="28"/>
          <w:szCs w:val="28"/>
          <w:shd w:val="clear" w:color="auto" w:fill="FFFFFF"/>
        </w:rPr>
        <w:t xml:space="preserve"> года </w:t>
      </w:r>
      <w:r w:rsidR="00D03B07" w:rsidRPr="00ED6862">
        <w:rPr>
          <w:rFonts w:ascii="Times New Roman" w:hAnsi="Times New Roman" w:cs="Times New Roman"/>
          <w:sz w:val="28"/>
          <w:szCs w:val="28"/>
          <w:shd w:val="clear" w:color="auto" w:fill="FFFFFF"/>
        </w:rPr>
        <w:t>–</w:t>
      </w:r>
      <w:r w:rsidRPr="00ED6862">
        <w:rPr>
          <w:rFonts w:ascii="Times New Roman" w:hAnsi="Times New Roman" w:cs="Times New Roman"/>
          <w:sz w:val="28"/>
          <w:szCs w:val="28"/>
          <w:shd w:val="clear" w:color="auto" w:fill="FFFFFF"/>
        </w:rPr>
        <w:t xml:space="preserve"> </w:t>
      </w:r>
      <w:r w:rsidR="00D03B07" w:rsidRPr="00ED6862">
        <w:rPr>
          <w:rFonts w:ascii="Times New Roman" w:hAnsi="Times New Roman" w:cs="Times New Roman"/>
          <w:sz w:val="28"/>
          <w:szCs w:val="28"/>
          <w:shd w:val="clear" w:color="auto" w:fill="FFFFFF"/>
        </w:rPr>
        <w:t>45,2</w:t>
      </w:r>
      <w:r w:rsidRPr="00ED6862">
        <w:rPr>
          <w:rFonts w:ascii="Times New Roman" w:hAnsi="Times New Roman" w:cs="Times New Roman"/>
          <w:sz w:val="28"/>
          <w:szCs w:val="28"/>
          <w:shd w:val="clear" w:color="auto" w:fill="FFFFFF"/>
        </w:rPr>
        <w:t xml:space="preserve"> млн. рублей, в 202</w:t>
      </w:r>
      <w:r w:rsidR="00D03B07" w:rsidRPr="00ED6862">
        <w:rPr>
          <w:rFonts w:ascii="Times New Roman" w:hAnsi="Times New Roman" w:cs="Times New Roman"/>
          <w:sz w:val="28"/>
          <w:szCs w:val="28"/>
          <w:shd w:val="clear" w:color="auto" w:fill="FFFFFF"/>
        </w:rPr>
        <w:t>5</w:t>
      </w:r>
      <w:r w:rsidRPr="00ED6862">
        <w:rPr>
          <w:rFonts w:ascii="Times New Roman" w:hAnsi="Times New Roman" w:cs="Times New Roman"/>
          <w:sz w:val="28"/>
          <w:szCs w:val="28"/>
          <w:shd w:val="clear" w:color="auto" w:fill="FFFFFF"/>
        </w:rPr>
        <w:t xml:space="preserve"> году </w:t>
      </w:r>
      <w:r w:rsidR="00D03B07" w:rsidRPr="00ED6862">
        <w:rPr>
          <w:rFonts w:ascii="Times New Roman" w:hAnsi="Times New Roman" w:cs="Times New Roman"/>
          <w:sz w:val="28"/>
          <w:szCs w:val="28"/>
          <w:shd w:val="clear" w:color="auto" w:fill="FFFFFF"/>
        </w:rPr>
        <w:t>– 67,1 млн. рублей, далее – по 81,4 млн. рублей до 2039 года.</w:t>
      </w:r>
    </w:p>
    <w:p w:rsidR="00870824" w:rsidRPr="00ED6862" w:rsidRDefault="00D03B07" w:rsidP="00ED6862">
      <w:pPr>
        <w:spacing w:after="0" w:line="240" w:lineRule="auto"/>
        <w:ind w:firstLine="709"/>
        <w:jc w:val="both"/>
        <w:rPr>
          <w:rFonts w:ascii="Times New Roman" w:hAnsi="Times New Roman" w:cs="Times New Roman"/>
          <w:sz w:val="28"/>
          <w:szCs w:val="28"/>
          <w:shd w:val="clear" w:color="auto" w:fill="FFFFFF"/>
        </w:rPr>
      </w:pPr>
      <w:r w:rsidRPr="00ED6862">
        <w:rPr>
          <w:rFonts w:ascii="Times New Roman" w:hAnsi="Times New Roman" w:cs="Times New Roman"/>
          <w:sz w:val="28"/>
          <w:szCs w:val="28"/>
          <w:shd w:val="clear" w:color="auto" w:fill="FFFFFF"/>
        </w:rPr>
        <w:t xml:space="preserve">Всего за весь период пользования кредитом </w:t>
      </w:r>
      <w:r w:rsidR="00ED6862" w:rsidRPr="00ED6862">
        <w:rPr>
          <w:rFonts w:ascii="Times New Roman" w:hAnsi="Times New Roman" w:cs="Times New Roman"/>
          <w:sz w:val="28"/>
          <w:szCs w:val="28"/>
          <w:shd w:val="clear" w:color="auto" w:fill="FFFFFF"/>
        </w:rPr>
        <w:t xml:space="preserve">(до 2040 года) </w:t>
      </w:r>
      <w:r w:rsidRPr="00ED6862">
        <w:rPr>
          <w:rFonts w:ascii="Times New Roman" w:hAnsi="Times New Roman" w:cs="Times New Roman"/>
          <w:sz w:val="28"/>
          <w:szCs w:val="28"/>
          <w:shd w:val="clear" w:color="auto" w:fill="FFFFFF"/>
        </w:rPr>
        <w:t>проценты на обслуживание инфраструктурных кредитов составят 398,5 млн. рублей</w:t>
      </w:r>
      <w:r w:rsidR="00353095" w:rsidRPr="00ED6862">
        <w:rPr>
          <w:rFonts w:ascii="Times New Roman" w:hAnsi="Times New Roman" w:cs="Times New Roman"/>
          <w:sz w:val="28"/>
          <w:szCs w:val="28"/>
          <w:shd w:val="clear" w:color="auto" w:fill="FFFFFF"/>
        </w:rPr>
        <w:t>.</w:t>
      </w:r>
    </w:p>
    <w:p w:rsidR="0013116A" w:rsidRPr="00ED6862" w:rsidRDefault="00434C13" w:rsidP="004E10B5">
      <w:pPr>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i/>
          <w:sz w:val="28"/>
          <w:szCs w:val="28"/>
          <w:lang w:eastAsia="ru-RU"/>
        </w:rPr>
        <w:t>3</w:t>
      </w:r>
      <w:r w:rsidR="00341B3C" w:rsidRPr="00ED6862">
        <w:rPr>
          <w:rFonts w:ascii="Times New Roman" w:eastAsia="Times New Roman" w:hAnsi="Times New Roman" w:cs="Times New Roman"/>
          <w:i/>
          <w:sz w:val="28"/>
          <w:szCs w:val="28"/>
          <w:lang w:eastAsia="ru-RU"/>
        </w:rPr>
        <w:t>.</w:t>
      </w:r>
      <w:r w:rsidRPr="00ED6862">
        <w:rPr>
          <w:rFonts w:ascii="Times New Roman" w:eastAsia="Times New Roman" w:hAnsi="Times New Roman" w:cs="Times New Roman"/>
          <w:i/>
          <w:sz w:val="28"/>
          <w:szCs w:val="28"/>
          <w:lang w:eastAsia="ru-RU"/>
        </w:rPr>
        <w:t xml:space="preserve"> </w:t>
      </w:r>
      <w:r w:rsidR="00A23672" w:rsidRPr="00ED6862">
        <w:rPr>
          <w:rFonts w:ascii="Times New Roman" w:eastAsia="Times New Roman" w:hAnsi="Times New Roman" w:cs="Times New Roman"/>
          <w:i/>
          <w:sz w:val="28"/>
          <w:szCs w:val="28"/>
          <w:lang w:eastAsia="ru-RU"/>
        </w:rPr>
        <w:t>повышение качества финансового менеджмента в органах исполнительной власти и государственных учреждениях Республики Тыва</w:t>
      </w:r>
      <w:r w:rsidR="00FB5A54" w:rsidRPr="00ED6862">
        <w:rPr>
          <w:rFonts w:ascii="Times New Roman" w:eastAsia="Times New Roman" w:hAnsi="Times New Roman" w:cs="Times New Roman"/>
          <w:i/>
          <w:sz w:val="28"/>
          <w:szCs w:val="28"/>
          <w:lang w:eastAsia="ru-RU"/>
        </w:rPr>
        <w:t>.</w:t>
      </w:r>
      <w:r w:rsidR="00133C0D" w:rsidRPr="00ED6862">
        <w:rPr>
          <w:rFonts w:ascii="Times New Roman" w:eastAsia="Times New Roman" w:hAnsi="Times New Roman" w:cs="Times New Roman"/>
          <w:sz w:val="28"/>
          <w:szCs w:val="28"/>
          <w:lang w:eastAsia="ru-RU"/>
        </w:rPr>
        <w:t xml:space="preserve"> </w:t>
      </w:r>
    </w:p>
    <w:p w:rsidR="00D773CD" w:rsidRPr="00ED6862" w:rsidRDefault="00133C0D" w:rsidP="004E10B5">
      <w:pPr>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D6862">
        <w:rPr>
          <w:rFonts w:ascii="Times New Roman" w:eastAsia="Times New Roman" w:hAnsi="Times New Roman" w:cs="Times New Roman"/>
          <w:sz w:val="28"/>
          <w:szCs w:val="28"/>
          <w:lang w:eastAsia="ru-RU"/>
        </w:rPr>
        <w:t xml:space="preserve">В соответствии с пунктом 6 статьи 160.2-1 Бюджетного кодекса Российской Федерации, с учетом Методических рекомендаций по проведению мониторинга качества финансового менеджмента, утвержденных приказом Министерства финансов Российской Федерации от </w:t>
      </w:r>
      <w:r w:rsidR="0013116A" w:rsidRPr="00ED6862">
        <w:rPr>
          <w:rFonts w:ascii="Times New Roman" w:eastAsia="Times New Roman" w:hAnsi="Times New Roman" w:cs="Times New Roman"/>
          <w:sz w:val="28"/>
          <w:szCs w:val="28"/>
          <w:lang w:eastAsia="ru-RU"/>
        </w:rPr>
        <w:t>14.11.</w:t>
      </w:r>
      <w:r w:rsidRPr="00ED6862">
        <w:rPr>
          <w:rFonts w:ascii="Times New Roman" w:eastAsia="Times New Roman" w:hAnsi="Times New Roman" w:cs="Times New Roman"/>
          <w:sz w:val="28"/>
          <w:szCs w:val="28"/>
          <w:lang w:eastAsia="ru-RU"/>
        </w:rPr>
        <w:t>2019 № 1031 Приказом Министерства финансов Республики Тыва</w:t>
      </w:r>
      <w:r w:rsidR="00D773CD" w:rsidRPr="00ED6862">
        <w:rPr>
          <w:rFonts w:ascii="Times New Roman" w:eastAsia="Times New Roman" w:hAnsi="Times New Roman" w:cs="Times New Roman"/>
          <w:sz w:val="28"/>
          <w:szCs w:val="28"/>
          <w:lang w:eastAsia="ru-RU"/>
        </w:rPr>
        <w:t xml:space="preserve"> </w:t>
      </w:r>
      <w:r w:rsidR="0013116A" w:rsidRPr="00ED6862">
        <w:rPr>
          <w:rFonts w:ascii="Times New Roman" w:eastAsia="Times New Roman" w:hAnsi="Times New Roman" w:cs="Times New Roman"/>
          <w:sz w:val="28"/>
          <w:szCs w:val="28"/>
          <w:lang w:eastAsia="ru-RU"/>
        </w:rPr>
        <w:t xml:space="preserve">от 12.07.2022 </w:t>
      </w:r>
      <w:r w:rsidR="00D773CD" w:rsidRPr="00ED6862">
        <w:rPr>
          <w:rFonts w:ascii="Times New Roman" w:eastAsia="Times New Roman" w:hAnsi="Times New Roman" w:cs="Times New Roman"/>
          <w:sz w:val="28"/>
          <w:szCs w:val="28"/>
          <w:lang w:eastAsia="ru-RU"/>
        </w:rPr>
        <w:t>№</w:t>
      </w:r>
      <w:r w:rsidR="0013116A" w:rsidRPr="00ED6862">
        <w:rPr>
          <w:rFonts w:ascii="Times New Roman" w:eastAsia="Times New Roman" w:hAnsi="Times New Roman" w:cs="Times New Roman"/>
          <w:sz w:val="28"/>
          <w:szCs w:val="28"/>
          <w:lang w:eastAsia="ru-RU"/>
        </w:rPr>
        <w:t xml:space="preserve"> </w:t>
      </w:r>
      <w:r w:rsidR="00D773CD" w:rsidRPr="00ED6862">
        <w:rPr>
          <w:rFonts w:ascii="Times New Roman" w:eastAsia="Times New Roman" w:hAnsi="Times New Roman" w:cs="Times New Roman"/>
          <w:sz w:val="28"/>
          <w:szCs w:val="28"/>
          <w:lang w:eastAsia="ru-RU"/>
        </w:rPr>
        <w:t>92 о/д утвержден порядок проведения</w:t>
      </w:r>
      <w:r w:rsidRPr="00ED6862">
        <w:rPr>
          <w:rFonts w:ascii="Times New Roman" w:eastAsia="Times New Roman" w:hAnsi="Times New Roman" w:cs="Times New Roman"/>
          <w:sz w:val="28"/>
          <w:szCs w:val="28"/>
          <w:lang w:eastAsia="ru-RU"/>
        </w:rPr>
        <w:t xml:space="preserve"> мониторинга качества финансового менеджмента в отношении главных распорядителей средств республиканского бюджета Республики Тыва, главных администраторов доходов республиканского бюджета Республики Тыва, главных администраторов источников финансирования дефицита республиканского бюджета Республики Тыва</w:t>
      </w:r>
      <w:r w:rsidR="00D773CD" w:rsidRPr="00ED6862">
        <w:rPr>
          <w:rFonts w:ascii="Times New Roman" w:eastAsia="Times New Roman" w:hAnsi="Times New Roman" w:cs="Times New Roman"/>
          <w:sz w:val="28"/>
          <w:szCs w:val="28"/>
          <w:lang w:eastAsia="ru-RU"/>
        </w:rPr>
        <w:t>. С 2022 года в отношении главных распорядителей средств республиканского бюджета будет проводиться мониторинг исполнения 14 показателей, характеризующих качества финансового менеджмента главных администраторов, предупреждение, выявление и пресечение бюджетных нарушений, устранение бюджетных рисков.</w:t>
      </w:r>
      <w:r w:rsidR="0064563F" w:rsidRPr="00ED6862">
        <w:rPr>
          <w:rFonts w:ascii="Times New Roman" w:eastAsia="Times New Roman" w:hAnsi="Times New Roman" w:cs="Times New Roman"/>
          <w:sz w:val="28"/>
          <w:szCs w:val="28"/>
          <w:lang w:eastAsia="ru-RU"/>
        </w:rPr>
        <w:t xml:space="preserve"> Итоги финансового менеджмента подлежат направлению Главе Республики Тыва и размещению </w:t>
      </w:r>
      <w:r w:rsidR="0064563F" w:rsidRPr="00ED6862">
        <w:rPr>
          <w:rFonts w:ascii="Times New Roman" w:hAnsi="Times New Roman" w:cs="Times New Roman"/>
          <w:bCs/>
          <w:color w:val="000000" w:themeColor="text1"/>
          <w:sz w:val="28"/>
          <w:szCs w:val="28"/>
        </w:rPr>
        <w:t>на официальных сайтах в информационно-телекоммуникационной сети «Интернет»</w:t>
      </w:r>
      <w:r w:rsidR="0064563F" w:rsidRPr="00ED6862">
        <w:rPr>
          <w:rFonts w:ascii="Times New Roman" w:eastAsia="Times New Roman" w:hAnsi="Times New Roman" w:cs="Times New Roman"/>
          <w:sz w:val="28"/>
          <w:szCs w:val="28"/>
          <w:lang w:eastAsia="ru-RU"/>
        </w:rPr>
        <w:t>.</w:t>
      </w:r>
    </w:p>
    <w:p w:rsidR="0060691C" w:rsidRPr="00ED6862" w:rsidRDefault="00870824" w:rsidP="004E10B5">
      <w:pPr>
        <w:pStyle w:val="a3"/>
        <w:ind w:left="0" w:firstLine="709"/>
        <w:jc w:val="both"/>
        <w:textAlignment w:val="baseline"/>
        <w:rPr>
          <w:rFonts w:eastAsia="Times New Roman"/>
          <w:sz w:val="28"/>
          <w:szCs w:val="28"/>
          <w:lang w:eastAsia="ru-RU"/>
        </w:rPr>
      </w:pPr>
      <w:r w:rsidRPr="00ED6862">
        <w:rPr>
          <w:rFonts w:eastAsia="Times New Roman"/>
          <w:i/>
          <w:sz w:val="28"/>
          <w:szCs w:val="28"/>
          <w:lang w:eastAsia="ru-RU"/>
        </w:rPr>
        <w:t xml:space="preserve">4. </w:t>
      </w:r>
      <w:r w:rsidR="0064563F" w:rsidRPr="00ED6862">
        <w:rPr>
          <w:rFonts w:eastAsia="Times New Roman"/>
          <w:i/>
          <w:sz w:val="28"/>
          <w:szCs w:val="28"/>
          <w:lang w:eastAsia="ru-RU"/>
        </w:rPr>
        <w:t>Продолжение реализации губернаторских проектов</w:t>
      </w:r>
      <w:r w:rsidR="0064563F" w:rsidRPr="00ED6862">
        <w:rPr>
          <w:rFonts w:eastAsia="Times New Roman"/>
          <w:sz w:val="28"/>
          <w:szCs w:val="28"/>
          <w:lang w:eastAsia="ru-RU"/>
        </w:rPr>
        <w:t xml:space="preserve"> </w:t>
      </w:r>
    </w:p>
    <w:p w:rsidR="0060691C" w:rsidRPr="00ED6862" w:rsidRDefault="0060691C" w:rsidP="004E10B5">
      <w:pPr>
        <w:pStyle w:val="a3"/>
        <w:ind w:left="0" w:firstLine="709"/>
        <w:jc w:val="both"/>
        <w:textAlignment w:val="baseline"/>
        <w:rPr>
          <w:rFonts w:eastAsia="Times New Roman"/>
          <w:sz w:val="28"/>
          <w:szCs w:val="28"/>
          <w:lang w:eastAsia="ru-RU"/>
        </w:rPr>
      </w:pPr>
      <w:r w:rsidRPr="00ED6862">
        <w:rPr>
          <w:rFonts w:eastAsia="Times New Roman"/>
          <w:sz w:val="28"/>
          <w:szCs w:val="28"/>
          <w:lang w:eastAsia="ru-RU"/>
        </w:rPr>
        <w:t>На финансовое обеспечение 3 губернаторских проектов в 2025 го</w:t>
      </w:r>
      <w:r w:rsidR="00F46176" w:rsidRPr="00ED6862">
        <w:rPr>
          <w:rFonts w:eastAsia="Times New Roman"/>
          <w:sz w:val="28"/>
          <w:szCs w:val="28"/>
          <w:lang w:eastAsia="ru-RU"/>
        </w:rPr>
        <w:t>ду предусмотрено 70</w:t>
      </w:r>
      <w:r w:rsidR="00231654" w:rsidRPr="00ED6862">
        <w:rPr>
          <w:rFonts w:eastAsia="Times New Roman"/>
          <w:sz w:val="28"/>
          <w:szCs w:val="28"/>
          <w:lang w:eastAsia="ru-RU"/>
        </w:rPr>
        <w:t>,2</w:t>
      </w:r>
      <w:r w:rsidR="00F46176" w:rsidRPr="00ED6862">
        <w:rPr>
          <w:rFonts w:eastAsia="Times New Roman"/>
          <w:sz w:val="28"/>
          <w:szCs w:val="28"/>
          <w:lang w:eastAsia="ru-RU"/>
        </w:rPr>
        <w:t xml:space="preserve"> млн. рублей, планируется </w:t>
      </w:r>
      <w:r w:rsidRPr="00ED6862">
        <w:rPr>
          <w:rFonts w:eastAsia="Times New Roman"/>
          <w:sz w:val="28"/>
          <w:szCs w:val="28"/>
          <w:lang w:eastAsia="ru-RU"/>
        </w:rPr>
        <w:t>продолж</w:t>
      </w:r>
      <w:r w:rsidR="00F46176" w:rsidRPr="00ED6862">
        <w:rPr>
          <w:rFonts w:eastAsia="Times New Roman"/>
          <w:sz w:val="28"/>
          <w:szCs w:val="28"/>
          <w:lang w:eastAsia="ru-RU"/>
        </w:rPr>
        <w:t>ить</w:t>
      </w:r>
      <w:r w:rsidRPr="00ED6862">
        <w:rPr>
          <w:rFonts w:eastAsia="Times New Roman"/>
          <w:sz w:val="28"/>
          <w:szCs w:val="28"/>
          <w:lang w:eastAsia="ru-RU"/>
        </w:rPr>
        <w:t xml:space="preserve"> реализаци</w:t>
      </w:r>
      <w:r w:rsidR="00F46176" w:rsidRPr="00ED6862">
        <w:rPr>
          <w:rFonts w:eastAsia="Times New Roman"/>
          <w:sz w:val="28"/>
          <w:szCs w:val="28"/>
          <w:lang w:eastAsia="ru-RU"/>
        </w:rPr>
        <w:t>ю</w:t>
      </w:r>
      <w:r w:rsidRPr="00ED6862">
        <w:rPr>
          <w:rFonts w:eastAsia="Times New Roman"/>
          <w:sz w:val="28"/>
          <w:szCs w:val="28"/>
          <w:lang w:eastAsia="ru-RU"/>
        </w:rPr>
        <w:t>:</w:t>
      </w:r>
    </w:p>
    <w:p w:rsidR="007E27DE" w:rsidRPr="00ED6862" w:rsidRDefault="007E27DE" w:rsidP="007E27DE">
      <w:pPr>
        <w:pStyle w:val="a3"/>
        <w:ind w:left="0" w:firstLine="709"/>
        <w:jc w:val="both"/>
        <w:textAlignment w:val="baseline"/>
        <w:rPr>
          <w:rFonts w:eastAsia="Times New Roman"/>
          <w:sz w:val="28"/>
          <w:szCs w:val="28"/>
          <w:lang w:eastAsia="ru-RU"/>
        </w:rPr>
      </w:pPr>
      <w:r w:rsidRPr="00ED6862">
        <w:rPr>
          <w:rFonts w:eastAsia="Times New Roman"/>
          <w:sz w:val="28"/>
          <w:szCs w:val="28"/>
          <w:lang w:eastAsia="ru-RU"/>
        </w:rPr>
        <w:t>– проекта «Сорунза» – 30 млн. рублей на строительство 2 сельских домов культуры в с. Торгалыг Улуг-Хемского кожууна и с. Ээр-Хавак Бай-Тайгинского кожууна;</w:t>
      </w:r>
    </w:p>
    <w:p w:rsidR="007E27DE" w:rsidRPr="00ED6862" w:rsidRDefault="007E27DE" w:rsidP="007E27DE">
      <w:pPr>
        <w:pStyle w:val="a3"/>
        <w:ind w:left="0" w:firstLine="709"/>
        <w:jc w:val="both"/>
        <w:textAlignment w:val="baseline"/>
        <w:rPr>
          <w:rFonts w:eastAsia="Times New Roman"/>
          <w:sz w:val="28"/>
          <w:szCs w:val="28"/>
          <w:lang w:eastAsia="ru-RU"/>
        </w:rPr>
      </w:pPr>
      <w:r w:rsidRPr="00ED6862">
        <w:rPr>
          <w:rFonts w:eastAsia="Times New Roman"/>
          <w:sz w:val="28"/>
          <w:szCs w:val="28"/>
          <w:lang w:eastAsia="ru-RU"/>
        </w:rPr>
        <w:t>– проекта «Мой учитель» – 7,9 млн. рублей, данный проект стартовал в 2023 году в целях повышения престижа профессии учителя. Средства проекта направляются на выплату грантов и премий, повышение квалификации;</w:t>
      </w:r>
    </w:p>
    <w:p w:rsidR="00DE16D7" w:rsidRPr="00ED6862" w:rsidRDefault="0060691C" w:rsidP="004E10B5">
      <w:pPr>
        <w:pStyle w:val="a3"/>
        <w:ind w:left="0" w:firstLine="709"/>
        <w:jc w:val="both"/>
        <w:textAlignment w:val="baseline"/>
        <w:rPr>
          <w:rFonts w:eastAsia="Times New Roman"/>
          <w:color w:val="000000"/>
          <w:sz w:val="28"/>
          <w:szCs w:val="28"/>
        </w:rPr>
      </w:pPr>
      <w:r w:rsidRPr="00ED6862">
        <w:rPr>
          <w:rFonts w:eastAsia="Times New Roman"/>
          <w:sz w:val="28"/>
          <w:szCs w:val="28"/>
          <w:lang w:eastAsia="ru-RU"/>
        </w:rPr>
        <w:t>– проекта «Социальный уголь» – 29,6 млн. рублей</w:t>
      </w:r>
      <w:r w:rsidR="00F46176" w:rsidRPr="00ED6862">
        <w:rPr>
          <w:rFonts w:eastAsia="Times New Roman"/>
          <w:sz w:val="28"/>
          <w:szCs w:val="28"/>
          <w:lang w:eastAsia="ru-RU"/>
        </w:rPr>
        <w:t xml:space="preserve"> из </w:t>
      </w:r>
      <w:r w:rsidR="00231654" w:rsidRPr="00ED6862">
        <w:rPr>
          <w:rFonts w:eastAsia="Times New Roman"/>
          <w:sz w:val="28"/>
          <w:szCs w:val="28"/>
          <w:lang w:eastAsia="ru-RU"/>
        </w:rPr>
        <w:t>предварительного рас</w:t>
      </w:r>
      <w:r w:rsidRPr="00ED6862">
        <w:rPr>
          <w:rFonts w:eastAsia="Times New Roman"/>
          <w:sz w:val="28"/>
          <w:szCs w:val="28"/>
          <w:lang w:eastAsia="ru-RU"/>
        </w:rPr>
        <w:t>ч</w:t>
      </w:r>
      <w:r w:rsidR="00F46176" w:rsidRPr="00ED6862">
        <w:rPr>
          <w:rFonts w:eastAsia="Times New Roman"/>
          <w:sz w:val="28"/>
          <w:szCs w:val="28"/>
          <w:lang w:eastAsia="ru-RU"/>
        </w:rPr>
        <w:t>ета</w:t>
      </w:r>
      <w:r w:rsidRPr="00ED6862">
        <w:rPr>
          <w:rFonts w:eastAsia="Times New Roman"/>
          <w:sz w:val="28"/>
          <w:szCs w:val="28"/>
          <w:lang w:eastAsia="ru-RU"/>
        </w:rPr>
        <w:t xml:space="preserve"> на 3 133 семей.</w:t>
      </w:r>
    </w:p>
    <w:p w:rsidR="00A36C1E" w:rsidRPr="00ED6862" w:rsidRDefault="00A36C1E" w:rsidP="004E10B5">
      <w:pPr>
        <w:spacing w:after="0" w:line="240" w:lineRule="auto"/>
        <w:ind w:firstLine="709"/>
        <w:rPr>
          <w:rFonts w:ascii="Times New Roman" w:hAnsi="Times New Roman" w:cs="Times New Roman"/>
          <w:b/>
          <w:i/>
          <w:sz w:val="28"/>
          <w:szCs w:val="28"/>
        </w:rPr>
      </w:pPr>
      <w:bookmarkStart w:id="3" w:name="_Toc146232361"/>
    </w:p>
    <w:p w:rsidR="004B3C8A" w:rsidRPr="00545A74" w:rsidRDefault="004B3C8A" w:rsidP="004E10B5">
      <w:pPr>
        <w:spacing w:after="0" w:line="240" w:lineRule="auto"/>
        <w:ind w:firstLine="709"/>
        <w:rPr>
          <w:rFonts w:ascii="Times New Roman" w:hAnsi="Times New Roman" w:cs="Times New Roman"/>
          <w:b/>
          <w:sz w:val="28"/>
          <w:szCs w:val="28"/>
        </w:rPr>
      </w:pPr>
      <w:r w:rsidRPr="00545A74">
        <w:rPr>
          <w:rFonts w:ascii="Times New Roman" w:hAnsi="Times New Roman" w:cs="Times New Roman"/>
          <w:b/>
          <w:sz w:val="28"/>
          <w:szCs w:val="28"/>
        </w:rPr>
        <w:t>Повышение финансовой грамотности и формирование финансовой культуры населения.</w:t>
      </w:r>
    </w:p>
    <w:p w:rsidR="0054514D" w:rsidRPr="00ED6862" w:rsidRDefault="004B3C8A"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 xml:space="preserve">Повышению открытости бюджетного процесса будет способствовать реализация мероприятий, проводимых в рамках Стратегии повышения финансовой грамотности и формирования финансовой культуры до 2030 года и </w:t>
      </w:r>
      <w:r w:rsidRPr="00ED6862">
        <w:rPr>
          <w:rFonts w:ascii="Times New Roman" w:hAnsi="Times New Roman" w:cs="Times New Roman"/>
          <w:sz w:val="28"/>
          <w:szCs w:val="28"/>
        </w:rPr>
        <w:lastRenderedPageBreak/>
        <w:t>региональной программы «</w:t>
      </w:r>
      <w:r w:rsidR="00F46176" w:rsidRPr="00ED6862">
        <w:rPr>
          <w:rFonts w:ascii="Times New Roman" w:hAnsi="Times New Roman" w:cs="Times New Roman"/>
          <w:sz w:val="28"/>
          <w:szCs w:val="28"/>
        </w:rPr>
        <w:t>Повышение эффективности управления общественными финансами Республики Тыва</w:t>
      </w:r>
      <w:r w:rsidRPr="00ED6862">
        <w:rPr>
          <w:rFonts w:ascii="Times New Roman" w:hAnsi="Times New Roman" w:cs="Times New Roman"/>
          <w:sz w:val="28"/>
          <w:szCs w:val="28"/>
        </w:rPr>
        <w:t>».</w:t>
      </w:r>
      <w:r w:rsidR="0054514D" w:rsidRPr="00ED6862">
        <w:rPr>
          <w:rFonts w:ascii="Times New Roman" w:hAnsi="Times New Roman" w:cs="Times New Roman"/>
          <w:sz w:val="28"/>
          <w:szCs w:val="28"/>
        </w:rPr>
        <w:t xml:space="preserve"> </w:t>
      </w:r>
    </w:p>
    <w:p w:rsidR="0054514D" w:rsidRPr="00ED6862" w:rsidRDefault="0054514D" w:rsidP="004E10B5">
      <w:pPr>
        <w:spacing w:after="0" w:line="240" w:lineRule="auto"/>
        <w:ind w:firstLine="709"/>
        <w:jc w:val="both"/>
        <w:rPr>
          <w:rFonts w:ascii="Times New Roman" w:hAnsi="Times New Roman" w:cs="Times New Roman"/>
          <w:sz w:val="28"/>
          <w:szCs w:val="28"/>
        </w:rPr>
      </w:pPr>
      <w:r w:rsidRPr="00ED6862">
        <w:rPr>
          <w:rFonts w:ascii="Times New Roman" w:hAnsi="Times New Roman" w:cs="Times New Roman"/>
          <w:sz w:val="28"/>
          <w:szCs w:val="28"/>
        </w:rPr>
        <w:t xml:space="preserve">Целью подпрограммы является содействие формированию грамотного поведения граждан и повышение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Республики Тыва. На 01.10.2024 год по всей республике общий </w:t>
      </w:r>
      <w:r w:rsidR="00E00E37" w:rsidRPr="00ED6862">
        <w:rPr>
          <w:rFonts w:ascii="Times New Roman" w:hAnsi="Times New Roman" w:cs="Times New Roman"/>
          <w:sz w:val="28"/>
          <w:szCs w:val="28"/>
        </w:rPr>
        <w:t>охват населения составил 31 556</w:t>
      </w:r>
      <w:r w:rsidRPr="00ED6862">
        <w:rPr>
          <w:rFonts w:ascii="Times New Roman" w:hAnsi="Times New Roman" w:cs="Times New Roman"/>
          <w:sz w:val="28"/>
          <w:szCs w:val="28"/>
        </w:rPr>
        <w:t xml:space="preserve"> человек.</w:t>
      </w:r>
      <w:bookmarkEnd w:id="3"/>
    </w:p>
    <w:p w:rsidR="00F1234E" w:rsidRPr="00ED6862" w:rsidRDefault="00F1234E" w:rsidP="004E10B5">
      <w:pPr>
        <w:spacing w:after="0" w:line="240" w:lineRule="auto"/>
        <w:ind w:firstLine="709"/>
        <w:jc w:val="both"/>
        <w:rPr>
          <w:rFonts w:ascii="Times New Roman" w:hAnsi="Times New Roman" w:cs="Times New Roman"/>
          <w:sz w:val="28"/>
          <w:szCs w:val="28"/>
        </w:rPr>
      </w:pPr>
    </w:p>
    <w:p w:rsidR="00F1234E" w:rsidRPr="00375FDF" w:rsidRDefault="00F1234E" w:rsidP="004E10B5">
      <w:pPr>
        <w:spacing w:after="0" w:line="240" w:lineRule="auto"/>
        <w:ind w:firstLine="709"/>
        <w:jc w:val="both"/>
        <w:rPr>
          <w:rFonts w:ascii="Times New Roman" w:eastAsia="Calibri" w:hAnsi="Times New Roman" w:cs="Times New Roman"/>
          <w:b/>
          <w:sz w:val="28"/>
          <w:szCs w:val="28"/>
        </w:rPr>
      </w:pPr>
      <w:r w:rsidRPr="00ED6862">
        <w:rPr>
          <w:rFonts w:ascii="Times New Roman" w:eastAsia="Calibri" w:hAnsi="Times New Roman" w:cs="Times New Roman"/>
          <w:b/>
          <w:sz w:val="28"/>
          <w:szCs w:val="28"/>
        </w:rPr>
        <w:t>В целях усиления финансовой дисциплины на долгосрочную перспективу в 2025 году будет продолжена поэтапная централизация учетных функций муниципальных органов, планируется проведение централизации в 5 муниципальных образованиях.</w:t>
      </w:r>
    </w:p>
    <w:p w:rsidR="00F1234E" w:rsidRPr="00A764E7" w:rsidRDefault="00F1234E" w:rsidP="004E10B5">
      <w:pPr>
        <w:spacing w:after="0" w:line="240" w:lineRule="auto"/>
        <w:ind w:firstLine="709"/>
        <w:jc w:val="both"/>
        <w:rPr>
          <w:rFonts w:ascii="Times New Roman" w:hAnsi="Times New Roman" w:cs="Times New Roman"/>
          <w:sz w:val="28"/>
          <w:szCs w:val="28"/>
        </w:rPr>
      </w:pPr>
    </w:p>
    <w:sectPr w:rsidR="00F1234E" w:rsidRPr="00A764E7" w:rsidSect="00AD222F">
      <w:headerReference w:type="default" r:id="rId9"/>
      <w:footerReference w:type="default" r:id="rId10"/>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6B" w:rsidRDefault="00EE5F6B" w:rsidP="00AD222F">
      <w:pPr>
        <w:spacing w:after="0" w:line="240" w:lineRule="auto"/>
      </w:pPr>
      <w:r>
        <w:separator/>
      </w:r>
    </w:p>
  </w:endnote>
  <w:endnote w:type="continuationSeparator" w:id="0">
    <w:p w:rsidR="00EE5F6B" w:rsidRDefault="00EE5F6B" w:rsidP="00AD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952969"/>
      <w:docPartObj>
        <w:docPartGallery w:val="Page Numbers (Bottom of Page)"/>
        <w:docPartUnique/>
      </w:docPartObj>
    </w:sdtPr>
    <w:sdtEndPr>
      <w:rPr>
        <w:rFonts w:ascii="Times New Roman" w:hAnsi="Times New Roman" w:cs="Times New Roman"/>
      </w:rPr>
    </w:sdtEndPr>
    <w:sdtContent>
      <w:p w:rsidR="00A764E7" w:rsidRPr="001C7CEB" w:rsidRDefault="00A764E7">
        <w:pPr>
          <w:pStyle w:val="a7"/>
          <w:jc w:val="right"/>
          <w:rPr>
            <w:rFonts w:ascii="Times New Roman" w:hAnsi="Times New Roman" w:cs="Times New Roman"/>
          </w:rPr>
        </w:pPr>
        <w:r w:rsidRPr="001C7CEB">
          <w:rPr>
            <w:rFonts w:ascii="Times New Roman" w:hAnsi="Times New Roman" w:cs="Times New Roman"/>
          </w:rPr>
          <w:fldChar w:fldCharType="begin"/>
        </w:r>
        <w:r w:rsidRPr="001C7CEB">
          <w:rPr>
            <w:rFonts w:ascii="Times New Roman" w:hAnsi="Times New Roman" w:cs="Times New Roman"/>
          </w:rPr>
          <w:instrText>PAGE   \* MERGEFORMAT</w:instrText>
        </w:r>
        <w:r w:rsidRPr="001C7CEB">
          <w:rPr>
            <w:rFonts w:ascii="Times New Roman" w:hAnsi="Times New Roman" w:cs="Times New Roman"/>
          </w:rPr>
          <w:fldChar w:fldCharType="separate"/>
        </w:r>
        <w:r w:rsidR="00C70F22">
          <w:rPr>
            <w:rFonts w:ascii="Times New Roman" w:hAnsi="Times New Roman" w:cs="Times New Roman"/>
            <w:noProof/>
          </w:rPr>
          <w:t>29</w:t>
        </w:r>
        <w:r w:rsidRPr="001C7CE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6B" w:rsidRDefault="00EE5F6B" w:rsidP="00AD222F">
      <w:pPr>
        <w:spacing w:after="0" w:line="240" w:lineRule="auto"/>
      </w:pPr>
      <w:r>
        <w:separator/>
      </w:r>
    </w:p>
  </w:footnote>
  <w:footnote w:type="continuationSeparator" w:id="0">
    <w:p w:rsidR="00EE5F6B" w:rsidRDefault="00EE5F6B" w:rsidP="00AD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Y="-210"/>
      <w:tblW w:w="9889" w:type="dxa"/>
      <w:tblLook w:val="04A0" w:firstRow="1" w:lastRow="0" w:firstColumn="1" w:lastColumn="0" w:noHBand="0" w:noVBand="1"/>
    </w:tblPr>
    <w:tblGrid>
      <w:gridCol w:w="1101"/>
      <w:gridCol w:w="8788"/>
    </w:tblGrid>
    <w:tr w:rsidR="00A764E7" w:rsidRPr="00C22CD6" w:rsidTr="006A029A">
      <w:trPr>
        <w:cantSplit/>
        <w:trHeight w:val="661"/>
      </w:trPr>
      <w:tc>
        <w:tcPr>
          <w:tcW w:w="1101" w:type="dxa"/>
        </w:tcPr>
        <w:p w:rsidR="00A764E7" w:rsidRPr="00C22CD6" w:rsidRDefault="00A764E7" w:rsidP="006A029A">
          <w:pPr>
            <w:tabs>
              <w:tab w:val="center" w:pos="4677"/>
              <w:tab w:val="right" w:pos="9355"/>
            </w:tabs>
            <w:spacing w:after="0" w:line="240" w:lineRule="auto"/>
            <w:jc w:val="right"/>
            <w:rPr>
              <w:rFonts w:ascii="Times New Roman" w:eastAsia="Times New Roman" w:hAnsi="Times New Roman" w:cs="Times New Roman"/>
              <w:b/>
              <w:color w:val="1F497D" w:themeColor="text2"/>
              <w:sz w:val="24"/>
              <w:szCs w:val="24"/>
              <w:lang w:eastAsia="ru-RU"/>
            </w:rPr>
          </w:pPr>
          <w:r w:rsidRPr="00C22CD6">
            <w:rPr>
              <w:rFonts w:ascii="Times New Roman" w:eastAsia="Times New Roman" w:hAnsi="Times New Roman" w:cs="Times New Roman"/>
              <w:b/>
              <w:noProof/>
              <w:sz w:val="32"/>
              <w:szCs w:val="20"/>
              <w:lang w:eastAsia="ru-RU"/>
            </w:rPr>
            <w:drawing>
              <wp:inline distT="0" distB="0" distL="0" distR="0" wp14:anchorId="237ABACC" wp14:editId="365CF555">
                <wp:extent cx="487939" cy="466725"/>
                <wp:effectExtent l="0" t="0" r="7620" b="0"/>
                <wp:docPr id="7" name="Рисунок 7" descr="O:\информ технологий\_Общая папка отдела\Logo Minfin\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информ технологий\_Общая папка отдела\Logo Minfin\Logo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949" cy="475343"/>
                        </a:xfrm>
                        <a:prstGeom prst="rect">
                          <a:avLst/>
                        </a:prstGeom>
                        <a:noFill/>
                        <a:ln>
                          <a:noFill/>
                        </a:ln>
                      </pic:spPr>
                    </pic:pic>
                  </a:graphicData>
                </a:graphic>
              </wp:inline>
            </w:drawing>
          </w:r>
        </w:p>
      </w:tc>
      <w:tc>
        <w:tcPr>
          <w:tcW w:w="8788" w:type="dxa"/>
          <w:shd w:val="clear" w:color="auto" w:fill="auto"/>
        </w:tcPr>
        <w:p w:rsidR="00A764E7" w:rsidRPr="001C7CEB" w:rsidRDefault="00A764E7" w:rsidP="006A029A">
          <w:pPr>
            <w:tabs>
              <w:tab w:val="left" w:pos="675"/>
              <w:tab w:val="center" w:pos="4677"/>
              <w:tab w:val="right" w:pos="8572"/>
              <w:tab w:val="right" w:pos="9355"/>
            </w:tabs>
            <w:spacing w:after="0" w:line="240" w:lineRule="auto"/>
            <w:jc w:val="right"/>
            <w:rPr>
              <w:rFonts w:ascii="Times New Roman" w:eastAsia="Times New Roman" w:hAnsi="Times New Roman" w:cs="Times New Roman"/>
              <w:color w:val="365F91" w:themeColor="accent1" w:themeShade="BF"/>
              <w:sz w:val="24"/>
              <w:szCs w:val="24"/>
              <w:lang w:eastAsia="ru-RU"/>
            </w:rPr>
          </w:pPr>
          <w:r w:rsidRPr="001C7CEB">
            <w:rPr>
              <w:rFonts w:ascii="Times New Roman" w:eastAsia="Times New Roman" w:hAnsi="Times New Roman" w:cs="Times New Roman"/>
              <w:color w:val="365F91" w:themeColor="accent1" w:themeShade="BF"/>
              <w:sz w:val="24"/>
              <w:szCs w:val="24"/>
              <w:lang w:eastAsia="ru-RU"/>
            </w:rPr>
            <w:t>Основные направления бюджетной и налоговой политики Республики Тыва</w:t>
          </w:r>
        </w:p>
        <w:p w:rsidR="00A764E7" w:rsidRPr="001C7CEB" w:rsidRDefault="00A764E7" w:rsidP="00B77281">
          <w:pPr>
            <w:tabs>
              <w:tab w:val="center" w:pos="4677"/>
              <w:tab w:val="right" w:pos="9355"/>
            </w:tabs>
            <w:spacing w:after="0" w:line="240" w:lineRule="auto"/>
            <w:jc w:val="right"/>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color w:val="365F91" w:themeColor="accent1" w:themeShade="BF"/>
              <w:sz w:val="24"/>
              <w:szCs w:val="24"/>
              <w:lang w:eastAsia="ru-RU"/>
            </w:rPr>
            <w:t>на 2025</w:t>
          </w:r>
          <w:r w:rsidRPr="001C7CEB">
            <w:rPr>
              <w:rFonts w:ascii="Times New Roman" w:eastAsia="Times New Roman" w:hAnsi="Times New Roman" w:cs="Times New Roman"/>
              <w:color w:val="365F91" w:themeColor="accent1" w:themeShade="BF"/>
              <w:sz w:val="24"/>
              <w:szCs w:val="24"/>
              <w:lang w:eastAsia="ru-RU"/>
            </w:rPr>
            <w:t xml:space="preserve"> год и на плановый период 202</w:t>
          </w:r>
          <w:r>
            <w:rPr>
              <w:rFonts w:ascii="Times New Roman" w:eastAsia="Times New Roman" w:hAnsi="Times New Roman" w:cs="Times New Roman"/>
              <w:color w:val="365F91" w:themeColor="accent1" w:themeShade="BF"/>
              <w:sz w:val="24"/>
              <w:szCs w:val="24"/>
              <w:lang w:eastAsia="ru-RU"/>
            </w:rPr>
            <w:t>6</w:t>
          </w:r>
          <w:r w:rsidRPr="001C7CEB">
            <w:rPr>
              <w:rFonts w:ascii="Times New Roman" w:eastAsia="Times New Roman" w:hAnsi="Times New Roman" w:cs="Times New Roman"/>
              <w:color w:val="365F91" w:themeColor="accent1" w:themeShade="BF"/>
              <w:sz w:val="24"/>
              <w:szCs w:val="24"/>
              <w:lang w:eastAsia="ru-RU"/>
            </w:rPr>
            <w:t xml:space="preserve"> и 202</w:t>
          </w:r>
          <w:r>
            <w:rPr>
              <w:rFonts w:ascii="Times New Roman" w:eastAsia="Times New Roman" w:hAnsi="Times New Roman" w:cs="Times New Roman"/>
              <w:color w:val="365F91" w:themeColor="accent1" w:themeShade="BF"/>
              <w:sz w:val="24"/>
              <w:szCs w:val="24"/>
              <w:lang w:eastAsia="ru-RU"/>
            </w:rPr>
            <w:t>7</w:t>
          </w:r>
          <w:r w:rsidRPr="001C7CEB">
            <w:rPr>
              <w:rFonts w:ascii="Times New Roman" w:eastAsia="Times New Roman" w:hAnsi="Times New Roman" w:cs="Times New Roman"/>
              <w:color w:val="365F91" w:themeColor="accent1" w:themeShade="BF"/>
              <w:sz w:val="24"/>
              <w:szCs w:val="24"/>
              <w:lang w:eastAsia="ru-RU"/>
            </w:rPr>
            <w:t>годов</w:t>
          </w:r>
        </w:p>
      </w:tc>
    </w:tr>
  </w:tbl>
  <w:p w:rsidR="00A764E7" w:rsidRDefault="00A764E7" w:rsidP="006A029A">
    <w:pPr>
      <w:pStyle w:val="a5"/>
    </w:pPr>
  </w:p>
  <w:p w:rsidR="00A764E7" w:rsidRDefault="00A764E7" w:rsidP="006A029A">
    <w:pPr>
      <w:pStyle w:val="a5"/>
    </w:pPr>
  </w:p>
  <w:p w:rsidR="00A764E7" w:rsidRDefault="00A764E7" w:rsidP="006A029A">
    <w:pPr>
      <w:pStyle w:val="a5"/>
    </w:pPr>
  </w:p>
  <w:p w:rsidR="00A764E7" w:rsidRDefault="00A764E7" w:rsidP="006A02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F82"/>
    <w:multiLevelType w:val="hybridMultilevel"/>
    <w:tmpl w:val="5C7EC23C"/>
    <w:lvl w:ilvl="0" w:tplc="37505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27E12"/>
    <w:multiLevelType w:val="multilevel"/>
    <w:tmpl w:val="BFD29750"/>
    <w:lvl w:ilvl="0">
      <w:start w:val="1"/>
      <w:numFmt w:val="decimal"/>
      <w:lvlText w:val="%1."/>
      <w:lvlJc w:val="left"/>
      <w:pPr>
        <w:ind w:left="1069" w:hanging="360"/>
      </w:pPr>
      <w:rPr>
        <w:b/>
      </w:rPr>
    </w:lvl>
    <w:lvl w:ilvl="1">
      <w:start w:val="1"/>
      <w:numFmt w:val="decimal"/>
      <w:isLgl/>
      <w:lvlText w:val="%1.%2."/>
      <w:lvlJc w:val="left"/>
      <w:pPr>
        <w:ind w:left="1159" w:hanging="450"/>
      </w:pPr>
      <w:rPr>
        <w:b/>
        <w:sz w:val="28"/>
      </w:rPr>
    </w:lvl>
    <w:lvl w:ilvl="2">
      <w:start w:val="1"/>
      <w:numFmt w:val="decimal"/>
      <w:isLgl/>
      <w:lvlText w:val="%1.%2.%3."/>
      <w:lvlJc w:val="left"/>
      <w:pPr>
        <w:ind w:left="1429" w:hanging="720"/>
      </w:pPr>
      <w:rPr>
        <w:sz w:val="28"/>
      </w:rPr>
    </w:lvl>
    <w:lvl w:ilvl="3">
      <w:start w:val="1"/>
      <w:numFmt w:val="decimal"/>
      <w:isLgl/>
      <w:lvlText w:val="%1.%2.%3.%4."/>
      <w:lvlJc w:val="left"/>
      <w:pPr>
        <w:ind w:left="1429" w:hanging="720"/>
      </w:pPr>
      <w:rPr>
        <w:sz w:val="28"/>
      </w:rPr>
    </w:lvl>
    <w:lvl w:ilvl="4">
      <w:start w:val="1"/>
      <w:numFmt w:val="decimal"/>
      <w:isLgl/>
      <w:lvlText w:val="%1.%2.%3.%4.%5."/>
      <w:lvlJc w:val="left"/>
      <w:pPr>
        <w:ind w:left="1789" w:hanging="1080"/>
      </w:pPr>
      <w:rPr>
        <w:sz w:val="28"/>
      </w:rPr>
    </w:lvl>
    <w:lvl w:ilvl="5">
      <w:start w:val="1"/>
      <w:numFmt w:val="decimal"/>
      <w:isLgl/>
      <w:lvlText w:val="%1.%2.%3.%4.%5.%6."/>
      <w:lvlJc w:val="left"/>
      <w:pPr>
        <w:ind w:left="1789" w:hanging="1080"/>
      </w:pPr>
      <w:rPr>
        <w:sz w:val="28"/>
      </w:rPr>
    </w:lvl>
    <w:lvl w:ilvl="6">
      <w:start w:val="1"/>
      <w:numFmt w:val="decimal"/>
      <w:isLgl/>
      <w:lvlText w:val="%1.%2.%3.%4.%5.%6.%7."/>
      <w:lvlJc w:val="left"/>
      <w:pPr>
        <w:ind w:left="2149" w:hanging="1440"/>
      </w:pPr>
      <w:rPr>
        <w:sz w:val="28"/>
      </w:rPr>
    </w:lvl>
    <w:lvl w:ilvl="7">
      <w:start w:val="1"/>
      <w:numFmt w:val="decimal"/>
      <w:isLgl/>
      <w:lvlText w:val="%1.%2.%3.%4.%5.%6.%7.%8."/>
      <w:lvlJc w:val="left"/>
      <w:pPr>
        <w:ind w:left="2149" w:hanging="1440"/>
      </w:pPr>
      <w:rPr>
        <w:sz w:val="28"/>
      </w:rPr>
    </w:lvl>
    <w:lvl w:ilvl="8">
      <w:start w:val="1"/>
      <w:numFmt w:val="decimal"/>
      <w:isLgl/>
      <w:lvlText w:val="%1.%2.%3.%4.%5.%6.%7.%8.%9."/>
      <w:lvlJc w:val="left"/>
      <w:pPr>
        <w:ind w:left="2509" w:hanging="1800"/>
      </w:pPr>
      <w:rPr>
        <w:sz w:val="28"/>
      </w:rPr>
    </w:lvl>
  </w:abstractNum>
  <w:abstractNum w:abstractNumId="2">
    <w:nsid w:val="04FA2911"/>
    <w:multiLevelType w:val="hybridMultilevel"/>
    <w:tmpl w:val="0BA29BC0"/>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053A25BC"/>
    <w:multiLevelType w:val="multilevel"/>
    <w:tmpl w:val="8BF24F80"/>
    <w:lvl w:ilvl="0">
      <w:start w:val="1"/>
      <w:numFmt w:val="decimal"/>
      <w:lvlText w:val="%1."/>
      <w:lvlJc w:val="left"/>
      <w:pPr>
        <w:ind w:left="1070" w:hanging="360"/>
      </w:pPr>
      <w:rPr>
        <w:rFonts w:hint="default"/>
        <w:b w:val="0"/>
      </w:rPr>
    </w:lvl>
    <w:lvl w:ilvl="1">
      <w:start w:val="2"/>
      <w:numFmt w:val="decimal"/>
      <w:isLgl/>
      <w:lvlText w:val="%1.%2."/>
      <w:lvlJc w:val="left"/>
      <w:pPr>
        <w:ind w:left="1429" w:hanging="720"/>
      </w:pPr>
      <w:rPr>
        <w:rFonts w:hint="default"/>
        <w:i/>
      </w:rPr>
    </w:lvl>
    <w:lvl w:ilvl="2">
      <w:start w:val="1"/>
      <w:numFmt w:val="decimal"/>
      <w:isLgl/>
      <w:lvlText w:val="%1.%2.%3."/>
      <w:lvlJc w:val="left"/>
      <w:pPr>
        <w:ind w:left="1429" w:hanging="720"/>
      </w:pPr>
      <w:rPr>
        <w:rFonts w:hint="default"/>
        <w:i/>
      </w:rPr>
    </w:lvl>
    <w:lvl w:ilvl="3">
      <w:start w:val="1"/>
      <w:numFmt w:val="decimal"/>
      <w:isLgl/>
      <w:lvlText w:val="%1.%2.%3.%4."/>
      <w:lvlJc w:val="left"/>
      <w:pPr>
        <w:ind w:left="1789" w:hanging="1080"/>
      </w:pPr>
      <w:rPr>
        <w:rFonts w:hint="default"/>
        <w:i/>
      </w:rPr>
    </w:lvl>
    <w:lvl w:ilvl="4">
      <w:start w:val="1"/>
      <w:numFmt w:val="decimal"/>
      <w:isLgl/>
      <w:lvlText w:val="%1.%2.%3.%4.%5."/>
      <w:lvlJc w:val="left"/>
      <w:pPr>
        <w:ind w:left="1789" w:hanging="1080"/>
      </w:pPr>
      <w:rPr>
        <w:rFonts w:hint="default"/>
        <w:i/>
      </w:rPr>
    </w:lvl>
    <w:lvl w:ilvl="5">
      <w:start w:val="1"/>
      <w:numFmt w:val="decimal"/>
      <w:isLgl/>
      <w:lvlText w:val="%1.%2.%3.%4.%5.%6."/>
      <w:lvlJc w:val="left"/>
      <w:pPr>
        <w:ind w:left="2149" w:hanging="1440"/>
      </w:pPr>
      <w:rPr>
        <w:rFonts w:hint="default"/>
        <w:i/>
      </w:rPr>
    </w:lvl>
    <w:lvl w:ilvl="6">
      <w:start w:val="1"/>
      <w:numFmt w:val="decimal"/>
      <w:isLgl/>
      <w:lvlText w:val="%1.%2.%3.%4.%5.%6.%7."/>
      <w:lvlJc w:val="left"/>
      <w:pPr>
        <w:ind w:left="2509" w:hanging="1800"/>
      </w:pPr>
      <w:rPr>
        <w:rFonts w:hint="default"/>
        <w:i/>
      </w:rPr>
    </w:lvl>
    <w:lvl w:ilvl="7">
      <w:start w:val="1"/>
      <w:numFmt w:val="decimal"/>
      <w:isLgl/>
      <w:lvlText w:val="%1.%2.%3.%4.%5.%6.%7.%8."/>
      <w:lvlJc w:val="left"/>
      <w:pPr>
        <w:ind w:left="2509" w:hanging="1800"/>
      </w:pPr>
      <w:rPr>
        <w:rFonts w:hint="default"/>
        <w:i/>
      </w:rPr>
    </w:lvl>
    <w:lvl w:ilvl="8">
      <w:start w:val="1"/>
      <w:numFmt w:val="decimal"/>
      <w:isLgl/>
      <w:lvlText w:val="%1.%2.%3.%4.%5.%6.%7.%8.%9."/>
      <w:lvlJc w:val="left"/>
      <w:pPr>
        <w:ind w:left="2869" w:hanging="2160"/>
      </w:pPr>
      <w:rPr>
        <w:rFonts w:hint="default"/>
        <w:i/>
      </w:rPr>
    </w:lvl>
  </w:abstractNum>
  <w:abstractNum w:abstractNumId="4">
    <w:nsid w:val="063376DA"/>
    <w:multiLevelType w:val="hybridMultilevel"/>
    <w:tmpl w:val="E730BFFA"/>
    <w:lvl w:ilvl="0" w:tplc="5014662A">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7FB5E55"/>
    <w:multiLevelType w:val="hybridMultilevel"/>
    <w:tmpl w:val="45BEE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D2A87"/>
    <w:multiLevelType w:val="hybridMultilevel"/>
    <w:tmpl w:val="5312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632E14"/>
    <w:multiLevelType w:val="hybridMultilevel"/>
    <w:tmpl w:val="6C5C83DC"/>
    <w:lvl w:ilvl="0" w:tplc="1D94FED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AE4100F"/>
    <w:multiLevelType w:val="hybridMultilevel"/>
    <w:tmpl w:val="D8A4A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FD5B57"/>
    <w:multiLevelType w:val="hybridMultilevel"/>
    <w:tmpl w:val="D28278F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3B06F4"/>
    <w:multiLevelType w:val="hybridMultilevel"/>
    <w:tmpl w:val="2B8ACE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8106DD"/>
    <w:multiLevelType w:val="hybridMultilevel"/>
    <w:tmpl w:val="755CB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925BD"/>
    <w:multiLevelType w:val="hybridMultilevel"/>
    <w:tmpl w:val="4DB0A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0714B4B"/>
    <w:multiLevelType w:val="hybridMultilevel"/>
    <w:tmpl w:val="41D054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CD7636"/>
    <w:multiLevelType w:val="hybridMultilevel"/>
    <w:tmpl w:val="73642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4E7D62"/>
    <w:multiLevelType w:val="hybridMultilevel"/>
    <w:tmpl w:val="1F36CE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6B1F55"/>
    <w:multiLevelType w:val="multilevel"/>
    <w:tmpl w:val="FF1C7C4E"/>
    <w:lvl w:ilvl="0">
      <w:start w:val="3"/>
      <w:numFmt w:val="decimal"/>
      <w:lvlText w:val="%1."/>
      <w:lvlJc w:val="left"/>
      <w:pPr>
        <w:ind w:left="3002"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D82B04"/>
    <w:multiLevelType w:val="hybridMultilevel"/>
    <w:tmpl w:val="E2AEE3CE"/>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0D649CF"/>
    <w:multiLevelType w:val="hybridMultilevel"/>
    <w:tmpl w:val="FB70C380"/>
    <w:lvl w:ilvl="0" w:tplc="834C64F6">
      <w:start w:val="2"/>
      <w:numFmt w:val="decimal"/>
      <w:lvlText w:val="%1."/>
      <w:lvlJc w:val="left"/>
      <w:pPr>
        <w:ind w:left="1210" w:hanging="360"/>
      </w:pPr>
      <w:rPr>
        <w:rFonts w:hint="default"/>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9">
    <w:nsid w:val="320948B6"/>
    <w:multiLevelType w:val="multilevel"/>
    <w:tmpl w:val="6B2628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33DC2CBC"/>
    <w:multiLevelType w:val="hybridMultilevel"/>
    <w:tmpl w:val="071291F2"/>
    <w:lvl w:ilvl="0" w:tplc="91E8100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52914D7"/>
    <w:multiLevelType w:val="multilevel"/>
    <w:tmpl w:val="475A953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8EB4E97"/>
    <w:multiLevelType w:val="hybridMultilevel"/>
    <w:tmpl w:val="9FD434EA"/>
    <w:lvl w:ilvl="0" w:tplc="CF929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9F0A4F"/>
    <w:multiLevelType w:val="hybridMultilevel"/>
    <w:tmpl w:val="4A0038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DA7BA3"/>
    <w:multiLevelType w:val="multilevel"/>
    <w:tmpl w:val="4982504E"/>
    <w:lvl w:ilvl="0">
      <w:start w:val="1"/>
      <w:numFmt w:val="upperRoman"/>
      <w:lvlText w:val="%1."/>
      <w:lvlJc w:val="left"/>
      <w:pPr>
        <w:ind w:left="720" w:hanging="360"/>
      </w:pPr>
      <w:rPr>
        <w:rFonts w:hint="default"/>
      </w:rPr>
    </w:lvl>
    <w:lvl w:ilvl="1">
      <w:start w:val="1"/>
      <w:numFmt w:val="decimal"/>
      <w:isLgl/>
      <w:lvlText w:val="%1.%2."/>
      <w:lvlJc w:val="left"/>
      <w:pPr>
        <w:ind w:left="1428" w:hanging="720"/>
      </w:pPr>
      <w:rPr>
        <w:rFonts w:ascii="Times New Roman" w:hAnsi="Times New Roman" w:cs="Times New Roman" w:hint="default"/>
      </w:rPr>
    </w:lvl>
    <w:lvl w:ilvl="2">
      <w:start w:val="1"/>
      <w:numFmt w:val="decimal"/>
      <w:isLgl/>
      <w:lvlText w:val="%1.%2.%3."/>
      <w:lvlJc w:val="left"/>
      <w:pPr>
        <w:ind w:left="1776" w:hanging="720"/>
      </w:pPr>
      <w:rPr>
        <w:rFonts w:ascii="Times New Roman" w:hAnsi="Times New Roman" w:cs="Times New Roman"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5">
    <w:nsid w:val="4EC81254"/>
    <w:multiLevelType w:val="hybridMultilevel"/>
    <w:tmpl w:val="3D8C9F4E"/>
    <w:lvl w:ilvl="0" w:tplc="A60243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470C86"/>
    <w:multiLevelType w:val="hybridMultilevel"/>
    <w:tmpl w:val="2F203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7779F"/>
    <w:multiLevelType w:val="multilevel"/>
    <w:tmpl w:val="B07E4FCA"/>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8">
    <w:nsid w:val="55211C18"/>
    <w:multiLevelType w:val="hybridMultilevel"/>
    <w:tmpl w:val="B0A090EE"/>
    <w:lvl w:ilvl="0" w:tplc="EA6A7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74410A1"/>
    <w:multiLevelType w:val="hybridMultilevel"/>
    <w:tmpl w:val="3AAA0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7845D3"/>
    <w:multiLevelType w:val="hybridMultilevel"/>
    <w:tmpl w:val="6E0AE49A"/>
    <w:lvl w:ilvl="0" w:tplc="B958DAA4">
      <w:start w:val="1"/>
      <w:numFmt w:val="decimal"/>
      <w:lvlText w:val="%1."/>
      <w:lvlJc w:val="left"/>
      <w:pPr>
        <w:ind w:left="1977" w:hanging="14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5CDD43EB"/>
    <w:multiLevelType w:val="hybridMultilevel"/>
    <w:tmpl w:val="B88EAC90"/>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2">
    <w:nsid w:val="633C4C66"/>
    <w:multiLevelType w:val="hybridMultilevel"/>
    <w:tmpl w:val="309E79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39E7BB5"/>
    <w:multiLevelType w:val="hybridMultilevel"/>
    <w:tmpl w:val="7E6A2426"/>
    <w:lvl w:ilvl="0" w:tplc="19308F52">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6EB1410"/>
    <w:multiLevelType w:val="hybridMultilevel"/>
    <w:tmpl w:val="200E363E"/>
    <w:lvl w:ilvl="0" w:tplc="5D32D958">
      <w:numFmt w:val="bullet"/>
      <w:lvlText w:val="-"/>
      <w:lvlJc w:val="left"/>
      <w:pPr>
        <w:ind w:left="720" w:hanging="360"/>
      </w:pPr>
      <w:rPr>
        <w:rFonts w:ascii="Times New Roman" w:eastAsiaTheme="minorHAnsi" w:hAnsi="Times New Roman" w:cs="Times New Roman"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016BC7"/>
    <w:multiLevelType w:val="multilevel"/>
    <w:tmpl w:val="19CC13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9AF260A"/>
    <w:multiLevelType w:val="hybridMultilevel"/>
    <w:tmpl w:val="284AEF1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7">
    <w:nsid w:val="6AD24FFA"/>
    <w:multiLevelType w:val="multilevel"/>
    <w:tmpl w:val="0010A87E"/>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D192E6B"/>
    <w:multiLevelType w:val="hybridMultilevel"/>
    <w:tmpl w:val="395A86AC"/>
    <w:lvl w:ilvl="0" w:tplc="391C3B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DD75C5"/>
    <w:multiLevelType w:val="hybridMultilevel"/>
    <w:tmpl w:val="C5FAA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1F66A9"/>
    <w:multiLevelType w:val="hybridMultilevel"/>
    <w:tmpl w:val="5E321102"/>
    <w:lvl w:ilvl="0" w:tplc="F74CCD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CC477C"/>
    <w:multiLevelType w:val="hybridMultilevel"/>
    <w:tmpl w:val="3558BE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8"/>
  </w:num>
  <w:num w:numId="3">
    <w:abstractNumId w:val="19"/>
  </w:num>
  <w:num w:numId="4">
    <w:abstractNumId w:val="25"/>
  </w:num>
  <w:num w:numId="5">
    <w:abstractNumId w:val="12"/>
  </w:num>
  <w:num w:numId="6">
    <w:abstractNumId w:val="0"/>
  </w:num>
  <w:num w:numId="7">
    <w:abstractNumId w:val="38"/>
  </w:num>
  <w:num w:numId="8">
    <w:abstractNumId w:val="34"/>
  </w:num>
  <w:num w:numId="9">
    <w:abstractNumId w:val="3"/>
  </w:num>
  <w:num w:numId="10">
    <w:abstractNumId w:val="17"/>
  </w:num>
  <w:num w:numId="11">
    <w:abstractNumId w:val="6"/>
  </w:num>
  <w:num w:numId="12">
    <w:abstractNumId w:val="11"/>
  </w:num>
  <w:num w:numId="13">
    <w:abstractNumId w:val="21"/>
  </w:num>
  <w:num w:numId="14">
    <w:abstractNumId w:val="32"/>
  </w:num>
  <w:num w:numId="15">
    <w:abstractNumId w:val="41"/>
  </w:num>
  <w:num w:numId="16">
    <w:abstractNumId w:val="14"/>
  </w:num>
  <w:num w:numId="17">
    <w:abstractNumId w:val="29"/>
  </w:num>
  <w:num w:numId="18">
    <w:abstractNumId w:val="36"/>
  </w:num>
  <w:num w:numId="19">
    <w:abstractNumId w:val="9"/>
  </w:num>
  <w:num w:numId="20">
    <w:abstractNumId w:val="39"/>
  </w:num>
  <w:num w:numId="21">
    <w:abstractNumId w:val="16"/>
  </w:num>
  <w:num w:numId="22">
    <w:abstractNumId w:val="28"/>
  </w:num>
  <w:num w:numId="23">
    <w:abstractNumId w:val="4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7"/>
  </w:num>
  <w:num w:numId="28">
    <w:abstractNumId w:val="8"/>
  </w:num>
  <w:num w:numId="29">
    <w:abstractNumId w:val="13"/>
  </w:num>
  <w:num w:numId="30">
    <w:abstractNumId w:val="5"/>
  </w:num>
  <w:num w:numId="31">
    <w:abstractNumId w:val="2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3"/>
  </w:num>
  <w:num w:numId="35">
    <w:abstractNumId w:val="2"/>
  </w:num>
  <w:num w:numId="36">
    <w:abstractNumId w:val="15"/>
  </w:num>
  <w:num w:numId="37">
    <w:abstractNumId w:val="33"/>
    <w:lvlOverride w:ilvl="0">
      <w:startOverride w:val="1"/>
    </w:lvlOverride>
    <w:lvlOverride w:ilvl="1"/>
    <w:lvlOverride w:ilvl="2"/>
    <w:lvlOverride w:ilvl="3"/>
    <w:lvlOverride w:ilvl="4"/>
    <w:lvlOverride w:ilvl="5"/>
    <w:lvlOverride w:ilvl="6"/>
    <w:lvlOverride w:ilvl="7"/>
    <w:lvlOverride w:ilvl="8"/>
  </w:num>
  <w:num w:numId="38">
    <w:abstractNumId w:val="22"/>
  </w:num>
  <w:num w:numId="39">
    <w:abstractNumId w:val="31"/>
  </w:num>
  <w:num w:numId="40">
    <w:abstractNumId w:val="20"/>
  </w:num>
  <w:num w:numId="41">
    <w:abstractNumId w:val="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28"/>
    <w:rsid w:val="00006AE1"/>
    <w:rsid w:val="000567AF"/>
    <w:rsid w:val="00061BD9"/>
    <w:rsid w:val="00065BE7"/>
    <w:rsid w:val="000720FA"/>
    <w:rsid w:val="00081623"/>
    <w:rsid w:val="00086543"/>
    <w:rsid w:val="0009101D"/>
    <w:rsid w:val="000A0DDE"/>
    <w:rsid w:val="000C664B"/>
    <w:rsid w:val="000E2A51"/>
    <w:rsid w:val="000F319E"/>
    <w:rsid w:val="000F37A5"/>
    <w:rsid w:val="00122517"/>
    <w:rsid w:val="0013116A"/>
    <w:rsid w:val="00133C0D"/>
    <w:rsid w:val="00151569"/>
    <w:rsid w:val="00152EE0"/>
    <w:rsid w:val="001648BC"/>
    <w:rsid w:val="00166FC6"/>
    <w:rsid w:val="00170556"/>
    <w:rsid w:val="00176FC4"/>
    <w:rsid w:val="0019709B"/>
    <w:rsid w:val="001A4B37"/>
    <w:rsid w:val="001B5DD9"/>
    <w:rsid w:val="001B7855"/>
    <w:rsid w:val="001E4B66"/>
    <w:rsid w:val="001E56EC"/>
    <w:rsid w:val="00215555"/>
    <w:rsid w:val="002241BF"/>
    <w:rsid w:val="00231654"/>
    <w:rsid w:val="00242496"/>
    <w:rsid w:val="00247A35"/>
    <w:rsid w:val="002555B2"/>
    <w:rsid w:val="002628F7"/>
    <w:rsid w:val="002717C0"/>
    <w:rsid w:val="0028130F"/>
    <w:rsid w:val="00282B8B"/>
    <w:rsid w:val="002863A3"/>
    <w:rsid w:val="0029383B"/>
    <w:rsid w:val="002C1A32"/>
    <w:rsid w:val="002C4BC5"/>
    <w:rsid w:val="002D1A98"/>
    <w:rsid w:val="002D5E21"/>
    <w:rsid w:val="002E4B0E"/>
    <w:rsid w:val="002F0E17"/>
    <w:rsid w:val="003232A8"/>
    <w:rsid w:val="0034039F"/>
    <w:rsid w:val="00341B3C"/>
    <w:rsid w:val="00352A25"/>
    <w:rsid w:val="00353095"/>
    <w:rsid w:val="00353502"/>
    <w:rsid w:val="00366026"/>
    <w:rsid w:val="00373568"/>
    <w:rsid w:val="00375FDF"/>
    <w:rsid w:val="00386B2A"/>
    <w:rsid w:val="003A20FB"/>
    <w:rsid w:val="003A6C9E"/>
    <w:rsid w:val="003C7B6A"/>
    <w:rsid w:val="003D0C02"/>
    <w:rsid w:val="003D6485"/>
    <w:rsid w:val="003F1371"/>
    <w:rsid w:val="003F3383"/>
    <w:rsid w:val="00400645"/>
    <w:rsid w:val="004007E4"/>
    <w:rsid w:val="00416CE3"/>
    <w:rsid w:val="00434C13"/>
    <w:rsid w:val="00446207"/>
    <w:rsid w:val="00456128"/>
    <w:rsid w:val="004578AC"/>
    <w:rsid w:val="004670FE"/>
    <w:rsid w:val="0047331E"/>
    <w:rsid w:val="004768E7"/>
    <w:rsid w:val="004870E8"/>
    <w:rsid w:val="0049271D"/>
    <w:rsid w:val="00496149"/>
    <w:rsid w:val="004A27DC"/>
    <w:rsid w:val="004A722C"/>
    <w:rsid w:val="004B3C8A"/>
    <w:rsid w:val="004C096C"/>
    <w:rsid w:val="004E0019"/>
    <w:rsid w:val="004E10B5"/>
    <w:rsid w:val="004E4750"/>
    <w:rsid w:val="004F224C"/>
    <w:rsid w:val="004F56AE"/>
    <w:rsid w:val="00537C96"/>
    <w:rsid w:val="0054514D"/>
    <w:rsid w:val="00545A74"/>
    <w:rsid w:val="00577D90"/>
    <w:rsid w:val="00590DA9"/>
    <w:rsid w:val="005A7DE8"/>
    <w:rsid w:val="005D0B3D"/>
    <w:rsid w:val="005D1694"/>
    <w:rsid w:val="005E1681"/>
    <w:rsid w:val="005F6A8F"/>
    <w:rsid w:val="0060691C"/>
    <w:rsid w:val="00616531"/>
    <w:rsid w:val="00616EFA"/>
    <w:rsid w:val="00617016"/>
    <w:rsid w:val="0064563F"/>
    <w:rsid w:val="00647610"/>
    <w:rsid w:val="006537E1"/>
    <w:rsid w:val="00654FAF"/>
    <w:rsid w:val="00682488"/>
    <w:rsid w:val="006974A3"/>
    <w:rsid w:val="006A029A"/>
    <w:rsid w:val="006A774B"/>
    <w:rsid w:val="006C0EB2"/>
    <w:rsid w:val="006D6390"/>
    <w:rsid w:val="006E1B08"/>
    <w:rsid w:val="006E37D6"/>
    <w:rsid w:val="006F189D"/>
    <w:rsid w:val="00703282"/>
    <w:rsid w:val="00716DC9"/>
    <w:rsid w:val="00720C1A"/>
    <w:rsid w:val="00724930"/>
    <w:rsid w:val="00731BE1"/>
    <w:rsid w:val="00746FAA"/>
    <w:rsid w:val="0074700E"/>
    <w:rsid w:val="00747BE0"/>
    <w:rsid w:val="0075661C"/>
    <w:rsid w:val="007646B5"/>
    <w:rsid w:val="007650FA"/>
    <w:rsid w:val="007708CB"/>
    <w:rsid w:val="00773AB4"/>
    <w:rsid w:val="00774485"/>
    <w:rsid w:val="00777450"/>
    <w:rsid w:val="007851F2"/>
    <w:rsid w:val="007A0E42"/>
    <w:rsid w:val="007B59CE"/>
    <w:rsid w:val="007C5B76"/>
    <w:rsid w:val="007D4673"/>
    <w:rsid w:val="007D5933"/>
    <w:rsid w:val="007E27DE"/>
    <w:rsid w:val="007E3C4F"/>
    <w:rsid w:val="007F208C"/>
    <w:rsid w:val="0080433D"/>
    <w:rsid w:val="00870824"/>
    <w:rsid w:val="00880DC9"/>
    <w:rsid w:val="00886216"/>
    <w:rsid w:val="008A664E"/>
    <w:rsid w:val="008A6FB5"/>
    <w:rsid w:val="008F77DC"/>
    <w:rsid w:val="009217C4"/>
    <w:rsid w:val="00926BE8"/>
    <w:rsid w:val="0094268F"/>
    <w:rsid w:val="00942800"/>
    <w:rsid w:val="00944BFD"/>
    <w:rsid w:val="00960698"/>
    <w:rsid w:val="00966CCC"/>
    <w:rsid w:val="00971C7F"/>
    <w:rsid w:val="00985C68"/>
    <w:rsid w:val="009C1E6E"/>
    <w:rsid w:val="009C41F3"/>
    <w:rsid w:val="009E2A6D"/>
    <w:rsid w:val="009F39AC"/>
    <w:rsid w:val="009F4444"/>
    <w:rsid w:val="00A16AE8"/>
    <w:rsid w:val="00A20F54"/>
    <w:rsid w:val="00A23672"/>
    <w:rsid w:val="00A2736C"/>
    <w:rsid w:val="00A36C1E"/>
    <w:rsid w:val="00A4275F"/>
    <w:rsid w:val="00A44FBA"/>
    <w:rsid w:val="00A501FD"/>
    <w:rsid w:val="00A57622"/>
    <w:rsid w:val="00A764E7"/>
    <w:rsid w:val="00A80B2D"/>
    <w:rsid w:val="00A8318A"/>
    <w:rsid w:val="00A87E9C"/>
    <w:rsid w:val="00A87EE7"/>
    <w:rsid w:val="00A953C2"/>
    <w:rsid w:val="00A96DEF"/>
    <w:rsid w:val="00AA02E4"/>
    <w:rsid w:val="00AA2B38"/>
    <w:rsid w:val="00AB0028"/>
    <w:rsid w:val="00AD222F"/>
    <w:rsid w:val="00AE68B5"/>
    <w:rsid w:val="00B00EF1"/>
    <w:rsid w:val="00B04C27"/>
    <w:rsid w:val="00B06A39"/>
    <w:rsid w:val="00B23150"/>
    <w:rsid w:val="00B33849"/>
    <w:rsid w:val="00B53DC8"/>
    <w:rsid w:val="00B65614"/>
    <w:rsid w:val="00B77281"/>
    <w:rsid w:val="00B777AF"/>
    <w:rsid w:val="00B84D06"/>
    <w:rsid w:val="00B84E04"/>
    <w:rsid w:val="00BE2FBA"/>
    <w:rsid w:val="00C002C3"/>
    <w:rsid w:val="00C016EF"/>
    <w:rsid w:val="00C042F1"/>
    <w:rsid w:val="00C13060"/>
    <w:rsid w:val="00C170C9"/>
    <w:rsid w:val="00C22CBB"/>
    <w:rsid w:val="00C31716"/>
    <w:rsid w:val="00C366AE"/>
    <w:rsid w:val="00C45670"/>
    <w:rsid w:val="00C456B9"/>
    <w:rsid w:val="00C70F22"/>
    <w:rsid w:val="00C82908"/>
    <w:rsid w:val="00CA7B7E"/>
    <w:rsid w:val="00CB2358"/>
    <w:rsid w:val="00CD4201"/>
    <w:rsid w:val="00CF716E"/>
    <w:rsid w:val="00D03B07"/>
    <w:rsid w:val="00D136A9"/>
    <w:rsid w:val="00D14CB1"/>
    <w:rsid w:val="00D304D2"/>
    <w:rsid w:val="00D33D6D"/>
    <w:rsid w:val="00D34D90"/>
    <w:rsid w:val="00D557A5"/>
    <w:rsid w:val="00D773CD"/>
    <w:rsid w:val="00D86688"/>
    <w:rsid w:val="00D905D9"/>
    <w:rsid w:val="00DB5BDA"/>
    <w:rsid w:val="00DC397E"/>
    <w:rsid w:val="00DD4D62"/>
    <w:rsid w:val="00DE16D7"/>
    <w:rsid w:val="00DE479C"/>
    <w:rsid w:val="00E00E37"/>
    <w:rsid w:val="00E07489"/>
    <w:rsid w:val="00E126A5"/>
    <w:rsid w:val="00E1456E"/>
    <w:rsid w:val="00E41561"/>
    <w:rsid w:val="00E50FE1"/>
    <w:rsid w:val="00E531FB"/>
    <w:rsid w:val="00E5447A"/>
    <w:rsid w:val="00E608C9"/>
    <w:rsid w:val="00E7250B"/>
    <w:rsid w:val="00E76AE1"/>
    <w:rsid w:val="00E87CBA"/>
    <w:rsid w:val="00E9448C"/>
    <w:rsid w:val="00EB7CBD"/>
    <w:rsid w:val="00EC33E5"/>
    <w:rsid w:val="00ED6862"/>
    <w:rsid w:val="00EE5F6B"/>
    <w:rsid w:val="00F1234E"/>
    <w:rsid w:val="00F20669"/>
    <w:rsid w:val="00F45C11"/>
    <w:rsid w:val="00F46176"/>
    <w:rsid w:val="00F60B4C"/>
    <w:rsid w:val="00F65521"/>
    <w:rsid w:val="00F70B72"/>
    <w:rsid w:val="00F73F83"/>
    <w:rsid w:val="00F90B02"/>
    <w:rsid w:val="00F91EC9"/>
    <w:rsid w:val="00FA133A"/>
    <w:rsid w:val="00FB169A"/>
    <w:rsid w:val="00FB5A54"/>
    <w:rsid w:val="00FC3B7C"/>
    <w:rsid w:val="00FD090B"/>
    <w:rsid w:val="00FD5ABA"/>
    <w:rsid w:val="00FD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6A"/>
  </w:style>
  <w:style w:type="paragraph" w:styleId="1">
    <w:name w:val="heading 1"/>
    <w:basedOn w:val="a"/>
    <w:next w:val="a"/>
    <w:link w:val="10"/>
    <w:autoRedefine/>
    <w:qFormat/>
    <w:rsid w:val="00C456B9"/>
    <w:pPr>
      <w:keepNext/>
      <w:tabs>
        <w:tab w:val="left" w:pos="686"/>
      </w:tabs>
      <w:spacing w:before="240" w:after="60" w:line="240" w:lineRule="auto"/>
      <w:ind w:left="720" w:hanging="360"/>
      <w:jc w:val="both"/>
      <w:outlineLvl w:val="0"/>
    </w:pPr>
    <w:rPr>
      <w:rFonts w:ascii="Times New Roman" w:eastAsia="Times New Roman" w:hAnsi="Times New Roman" w:cs="Arial"/>
      <w:b/>
      <w:bCs/>
      <w:kern w:val="32"/>
      <w:sz w:val="28"/>
      <w:szCs w:val="32"/>
      <w:lang w:eastAsia="ru-RU"/>
    </w:rPr>
  </w:style>
  <w:style w:type="paragraph" w:styleId="2">
    <w:name w:val="heading 2"/>
    <w:basedOn w:val="a"/>
    <w:link w:val="20"/>
    <w:qFormat/>
    <w:rsid w:val="00C31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Абзац списка11,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 для документа"/>
    <w:basedOn w:val="a"/>
    <w:link w:val="a4"/>
    <w:uiPriority w:val="34"/>
    <w:qFormat/>
    <w:rsid w:val="00AD222F"/>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AD2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222F"/>
    <w:rPr>
      <w:rFonts w:ascii="Arial" w:eastAsia="Times New Roman" w:hAnsi="Arial" w:cs="Arial"/>
      <w:sz w:val="20"/>
      <w:szCs w:val="20"/>
      <w:lang w:eastAsia="ru-RU"/>
    </w:rPr>
  </w:style>
  <w:style w:type="paragraph" w:styleId="a5">
    <w:name w:val="header"/>
    <w:basedOn w:val="a"/>
    <w:link w:val="a6"/>
    <w:uiPriority w:val="99"/>
    <w:unhideWhenUsed/>
    <w:rsid w:val="00AD22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222F"/>
  </w:style>
  <w:style w:type="paragraph" w:styleId="a7">
    <w:name w:val="footer"/>
    <w:basedOn w:val="a"/>
    <w:link w:val="a8"/>
    <w:uiPriority w:val="99"/>
    <w:unhideWhenUsed/>
    <w:rsid w:val="00AD22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222F"/>
  </w:style>
  <w:style w:type="paragraph" w:styleId="a9">
    <w:name w:val="Body Text"/>
    <w:basedOn w:val="a"/>
    <w:link w:val="aa"/>
    <w:uiPriority w:val="99"/>
    <w:unhideWhenUsed/>
    <w:rsid w:val="00AD222F"/>
    <w:pPr>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AD222F"/>
    <w:rPr>
      <w:rFonts w:ascii="Times New Roman" w:eastAsia="Times New Roman" w:hAnsi="Times New Roman" w:cs="Times New Roman"/>
      <w:sz w:val="28"/>
      <w:szCs w:val="20"/>
      <w:lang w:eastAsia="ru-RU"/>
    </w:rPr>
  </w:style>
  <w:style w:type="character" w:customStyle="1" w:styleId="a4">
    <w:name w:val="Абзац списка Знак"/>
    <w:aliases w:val="ПАРАГРАФ Знак,List Paragraph Знак,Абзац списка11 Знак,Bullet List Знак,FooterText Знак,numbered Знак,Подпись рисунка Знак,Маркированный список_уровень1 Знак,Абзац списка3 Знак,Абзац списка1 Знак,Абзац списка2 Знак,СПИСОК Знак"/>
    <w:link w:val="a3"/>
    <w:uiPriority w:val="34"/>
    <w:qFormat/>
    <w:locked/>
    <w:rsid w:val="00AD222F"/>
    <w:rPr>
      <w:rFonts w:ascii="Times New Roman" w:eastAsia="Calibri" w:hAnsi="Times New Roman" w:cs="Times New Roman"/>
    </w:rPr>
  </w:style>
  <w:style w:type="paragraph" w:styleId="ab">
    <w:name w:val="Balloon Text"/>
    <w:basedOn w:val="a"/>
    <w:link w:val="ac"/>
    <w:uiPriority w:val="99"/>
    <w:semiHidden/>
    <w:unhideWhenUsed/>
    <w:rsid w:val="00AD222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222F"/>
    <w:rPr>
      <w:rFonts w:ascii="Tahoma" w:hAnsi="Tahoma" w:cs="Tahoma"/>
      <w:sz w:val="16"/>
      <w:szCs w:val="16"/>
    </w:rPr>
  </w:style>
  <w:style w:type="paragraph" w:customStyle="1" w:styleId="formattext">
    <w:name w:val="formattext"/>
    <w:basedOn w:val="a"/>
    <w:rsid w:val="00764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7646B5"/>
    <w:rPr>
      <w:color w:val="0000FF"/>
      <w:u w:val="single"/>
    </w:rPr>
  </w:style>
  <w:style w:type="character" w:customStyle="1" w:styleId="20">
    <w:name w:val="Заголовок 2 Знак"/>
    <w:basedOn w:val="a0"/>
    <w:link w:val="2"/>
    <w:uiPriority w:val="9"/>
    <w:rsid w:val="00C3171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rsid w:val="00C456B9"/>
    <w:rPr>
      <w:rFonts w:ascii="Times New Roman" w:eastAsia="Times New Roman" w:hAnsi="Times New Roman" w:cs="Arial"/>
      <w:b/>
      <w:bCs/>
      <w:kern w:val="32"/>
      <w:sz w:val="28"/>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6A"/>
  </w:style>
  <w:style w:type="paragraph" w:styleId="1">
    <w:name w:val="heading 1"/>
    <w:basedOn w:val="a"/>
    <w:next w:val="a"/>
    <w:link w:val="10"/>
    <w:autoRedefine/>
    <w:qFormat/>
    <w:rsid w:val="00C456B9"/>
    <w:pPr>
      <w:keepNext/>
      <w:tabs>
        <w:tab w:val="left" w:pos="686"/>
      </w:tabs>
      <w:spacing w:before="240" w:after="60" w:line="240" w:lineRule="auto"/>
      <w:ind w:left="720" w:hanging="360"/>
      <w:jc w:val="both"/>
      <w:outlineLvl w:val="0"/>
    </w:pPr>
    <w:rPr>
      <w:rFonts w:ascii="Times New Roman" w:eastAsia="Times New Roman" w:hAnsi="Times New Roman" w:cs="Arial"/>
      <w:b/>
      <w:bCs/>
      <w:kern w:val="32"/>
      <w:sz w:val="28"/>
      <w:szCs w:val="32"/>
      <w:lang w:eastAsia="ru-RU"/>
    </w:rPr>
  </w:style>
  <w:style w:type="paragraph" w:styleId="2">
    <w:name w:val="heading 2"/>
    <w:basedOn w:val="a"/>
    <w:link w:val="20"/>
    <w:qFormat/>
    <w:rsid w:val="00C31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Абзац списка11,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 для документа"/>
    <w:basedOn w:val="a"/>
    <w:link w:val="a4"/>
    <w:uiPriority w:val="34"/>
    <w:qFormat/>
    <w:rsid w:val="00AD222F"/>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AD2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222F"/>
    <w:rPr>
      <w:rFonts w:ascii="Arial" w:eastAsia="Times New Roman" w:hAnsi="Arial" w:cs="Arial"/>
      <w:sz w:val="20"/>
      <w:szCs w:val="20"/>
      <w:lang w:eastAsia="ru-RU"/>
    </w:rPr>
  </w:style>
  <w:style w:type="paragraph" w:styleId="a5">
    <w:name w:val="header"/>
    <w:basedOn w:val="a"/>
    <w:link w:val="a6"/>
    <w:uiPriority w:val="99"/>
    <w:unhideWhenUsed/>
    <w:rsid w:val="00AD22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222F"/>
  </w:style>
  <w:style w:type="paragraph" w:styleId="a7">
    <w:name w:val="footer"/>
    <w:basedOn w:val="a"/>
    <w:link w:val="a8"/>
    <w:uiPriority w:val="99"/>
    <w:unhideWhenUsed/>
    <w:rsid w:val="00AD22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222F"/>
  </w:style>
  <w:style w:type="paragraph" w:styleId="a9">
    <w:name w:val="Body Text"/>
    <w:basedOn w:val="a"/>
    <w:link w:val="aa"/>
    <w:uiPriority w:val="99"/>
    <w:unhideWhenUsed/>
    <w:rsid w:val="00AD222F"/>
    <w:pPr>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AD222F"/>
    <w:rPr>
      <w:rFonts w:ascii="Times New Roman" w:eastAsia="Times New Roman" w:hAnsi="Times New Roman" w:cs="Times New Roman"/>
      <w:sz w:val="28"/>
      <w:szCs w:val="20"/>
      <w:lang w:eastAsia="ru-RU"/>
    </w:rPr>
  </w:style>
  <w:style w:type="character" w:customStyle="1" w:styleId="a4">
    <w:name w:val="Абзац списка Знак"/>
    <w:aliases w:val="ПАРАГРАФ Знак,List Paragraph Знак,Абзац списка11 Знак,Bullet List Знак,FooterText Знак,numbered Знак,Подпись рисунка Знак,Маркированный список_уровень1 Знак,Абзац списка3 Знак,Абзац списка1 Знак,Абзац списка2 Знак,СПИСОК Знак"/>
    <w:link w:val="a3"/>
    <w:uiPriority w:val="34"/>
    <w:qFormat/>
    <w:locked/>
    <w:rsid w:val="00AD222F"/>
    <w:rPr>
      <w:rFonts w:ascii="Times New Roman" w:eastAsia="Calibri" w:hAnsi="Times New Roman" w:cs="Times New Roman"/>
    </w:rPr>
  </w:style>
  <w:style w:type="paragraph" w:styleId="ab">
    <w:name w:val="Balloon Text"/>
    <w:basedOn w:val="a"/>
    <w:link w:val="ac"/>
    <w:uiPriority w:val="99"/>
    <w:semiHidden/>
    <w:unhideWhenUsed/>
    <w:rsid w:val="00AD222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222F"/>
    <w:rPr>
      <w:rFonts w:ascii="Tahoma" w:hAnsi="Tahoma" w:cs="Tahoma"/>
      <w:sz w:val="16"/>
      <w:szCs w:val="16"/>
    </w:rPr>
  </w:style>
  <w:style w:type="paragraph" w:customStyle="1" w:styleId="formattext">
    <w:name w:val="formattext"/>
    <w:basedOn w:val="a"/>
    <w:rsid w:val="00764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7646B5"/>
    <w:rPr>
      <w:color w:val="0000FF"/>
      <w:u w:val="single"/>
    </w:rPr>
  </w:style>
  <w:style w:type="character" w:customStyle="1" w:styleId="20">
    <w:name w:val="Заголовок 2 Знак"/>
    <w:basedOn w:val="a0"/>
    <w:link w:val="2"/>
    <w:uiPriority w:val="9"/>
    <w:rsid w:val="00C3171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rsid w:val="00C456B9"/>
    <w:rPr>
      <w:rFonts w:ascii="Times New Roman" w:eastAsia="Times New Roman" w:hAnsi="Times New Roman" w:cs="Arial"/>
      <w:b/>
      <w:bCs/>
      <w:kern w:val="32"/>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70268">
      <w:bodyDiv w:val="1"/>
      <w:marLeft w:val="0"/>
      <w:marRight w:val="0"/>
      <w:marTop w:val="0"/>
      <w:marBottom w:val="0"/>
      <w:divBdr>
        <w:top w:val="none" w:sz="0" w:space="0" w:color="auto"/>
        <w:left w:val="none" w:sz="0" w:space="0" w:color="auto"/>
        <w:bottom w:val="none" w:sz="0" w:space="0" w:color="auto"/>
        <w:right w:val="none" w:sz="0" w:space="0" w:color="auto"/>
      </w:divBdr>
    </w:div>
    <w:div w:id="863641405">
      <w:bodyDiv w:val="1"/>
      <w:marLeft w:val="0"/>
      <w:marRight w:val="0"/>
      <w:marTop w:val="0"/>
      <w:marBottom w:val="0"/>
      <w:divBdr>
        <w:top w:val="none" w:sz="0" w:space="0" w:color="auto"/>
        <w:left w:val="none" w:sz="0" w:space="0" w:color="auto"/>
        <w:bottom w:val="none" w:sz="0" w:space="0" w:color="auto"/>
        <w:right w:val="none" w:sz="0" w:space="0" w:color="auto"/>
      </w:divBdr>
    </w:div>
    <w:div w:id="1188451103">
      <w:bodyDiv w:val="1"/>
      <w:marLeft w:val="0"/>
      <w:marRight w:val="0"/>
      <w:marTop w:val="0"/>
      <w:marBottom w:val="0"/>
      <w:divBdr>
        <w:top w:val="none" w:sz="0" w:space="0" w:color="auto"/>
        <w:left w:val="none" w:sz="0" w:space="0" w:color="auto"/>
        <w:bottom w:val="none" w:sz="0" w:space="0" w:color="auto"/>
        <w:right w:val="none" w:sz="0" w:space="0" w:color="auto"/>
      </w:divBdr>
    </w:div>
    <w:div w:id="1309090146">
      <w:bodyDiv w:val="1"/>
      <w:marLeft w:val="0"/>
      <w:marRight w:val="0"/>
      <w:marTop w:val="0"/>
      <w:marBottom w:val="0"/>
      <w:divBdr>
        <w:top w:val="none" w:sz="0" w:space="0" w:color="auto"/>
        <w:left w:val="none" w:sz="0" w:space="0" w:color="auto"/>
        <w:bottom w:val="none" w:sz="0" w:space="0" w:color="auto"/>
        <w:right w:val="none" w:sz="0" w:space="0" w:color="auto"/>
      </w:divBdr>
    </w:div>
    <w:div w:id="1433863429">
      <w:bodyDiv w:val="1"/>
      <w:marLeft w:val="0"/>
      <w:marRight w:val="0"/>
      <w:marTop w:val="0"/>
      <w:marBottom w:val="0"/>
      <w:divBdr>
        <w:top w:val="none" w:sz="0" w:space="0" w:color="auto"/>
        <w:left w:val="none" w:sz="0" w:space="0" w:color="auto"/>
        <w:bottom w:val="none" w:sz="0" w:space="0" w:color="auto"/>
        <w:right w:val="none" w:sz="0" w:space="0" w:color="auto"/>
      </w:divBdr>
    </w:div>
    <w:div w:id="1558469722">
      <w:bodyDiv w:val="1"/>
      <w:marLeft w:val="0"/>
      <w:marRight w:val="0"/>
      <w:marTop w:val="0"/>
      <w:marBottom w:val="0"/>
      <w:divBdr>
        <w:top w:val="none" w:sz="0" w:space="0" w:color="auto"/>
        <w:left w:val="none" w:sz="0" w:space="0" w:color="auto"/>
        <w:bottom w:val="none" w:sz="0" w:space="0" w:color="auto"/>
        <w:right w:val="none" w:sz="0" w:space="0" w:color="auto"/>
      </w:divBdr>
    </w:div>
    <w:div w:id="1640525950">
      <w:bodyDiv w:val="1"/>
      <w:marLeft w:val="0"/>
      <w:marRight w:val="0"/>
      <w:marTop w:val="0"/>
      <w:marBottom w:val="0"/>
      <w:divBdr>
        <w:top w:val="none" w:sz="0" w:space="0" w:color="auto"/>
        <w:left w:val="none" w:sz="0" w:space="0" w:color="auto"/>
        <w:bottom w:val="none" w:sz="0" w:space="0" w:color="auto"/>
        <w:right w:val="none" w:sz="0" w:space="0" w:color="auto"/>
      </w:divBdr>
    </w:div>
    <w:div w:id="2113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10463</Words>
  <Characters>59640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Бараан Шенне Владимировна</dc:creator>
  <cp:lastModifiedBy>Анчымаа Долаана Тимуровна</cp:lastModifiedBy>
  <cp:revision>2</cp:revision>
  <cp:lastPrinted>2024-11-01T13:40:00Z</cp:lastPrinted>
  <dcterms:created xsi:type="dcterms:W3CDTF">2024-11-05T02:49:00Z</dcterms:created>
  <dcterms:modified xsi:type="dcterms:W3CDTF">2024-11-05T02:49:00Z</dcterms:modified>
</cp:coreProperties>
</file>