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4A" w:rsidRPr="00206F4A" w:rsidRDefault="00206F4A" w:rsidP="00206F4A">
      <w:pPr>
        <w:pStyle w:val="ConsPlusTitle"/>
        <w:jc w:val="center"/>
        <w:outlineLvl w:val="1"/>
        <w:rPr>
          <w:sz w:val="24"/>
          <w:szCs w:val="24"/>
        </w:rPr>
      </w:pPr>
      <w:r w:rsidRPr="00206F4A">
        <w:rPr>
          <w:sz w:val="24"/>
          <w:szCs w:val="24"/>
        </w:rPr>
        <w:t>ПАСПОРТ</w:t>
      </w:r>
    </w:p>
    <w:p w:rsidR="00206F4A" w:rsidRPr="00206F4A" w:rsidRDefault="00206F4A" w:rsidP="00206F4A">
      <w:pPr>
        <w:pStyle w:val="ConsPlusTitle"/>
        <w:jc w:val="center"/>
        <w:outlineLvl w:val="1"/>
        <w:rPr>
          <w:sz w:val="24"/>
          <w:szCs w:val="24"/>
        </w:rPr>
      </w:pPr>
      <w:r w:rsidRPr="00206F4A">
        <w:rPr>
          <w:sz w:val="24"/>
          <w:szCs w:val="24"/>
        </w:rPr>
        <w:t>государственной программы Республики Тыва "</w:t>
      </w:r>
      <w:proofErr w:type="gramStart"/>
      <w:r w:rsidRPr="00206F4A">
        <w:rPr>
          <w:sz w:val="24"/>
          <w:szCs w:val="24"/>
        </w:rPr>
        <w:t>Патриотическое</w:t>
      </w:r>
      <w:proofErr w:type="gramEnd"/>
    </w:p>
    <w:p w:rsidR="00206F4A" w:rsidRPr="00206F4A" w:rsidRDefault="00206F4A" w:rsidP="00206F4A">
      <w:pPr>
        <w:pStyle w:val="ConsPlusTitle"/>
        <w:jc w:val="center"/>
        <w:outlineLvl w:val="1"/>
        <w:rPr>
          <w:sz w:val="24"/>
          <w:szCs w:val="24"/>
        </w:rPr>
      </w:pPr>
      <w:r w:rsidRPr="00206F4A">
        <w:rPr>
          <w:sz w:val="24"/>
          <w:szCs w:val="24"/>
        </w:rPr>
        <w:t>воспитание граждан, проживающих в Республике Тыва"</w:t>
      </w:r>
    </w:p>
    <w:p w:rsidR="00206F4A" w:rsidRPr="00206F4A" w:rsidRDefault="00206F4A" w:rsidP="00206F4A">
      <w:pPr>
        <w:pStyle w:val="ConsPlusTitle"/>
        <w:jc w:val="center"/>
        <w:outlineLvl w:val="1"/>
        <w:rPr>
          <w:sz w:val="24"/>
          <w:szCs w:val="24"/>
        </w:rPr>
      </w:pPr>
      <w:r w:rsidRPr="00206F4A">
        <w:rPr>
          <w:sz w:val="24"/>
          <w:szCs w:val="24"/>
        </w:rPr>
        <w:t>(далее - Программа)</w:t>
      </w:r>
    </w:p>
    <w:p w:rsidR="00206F4A" w:rsidRPr="00206F4A" w:rsidRDefault="00206F4A" w:rsidP="00206F4A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206F4A" w:rsidRPr="00206F4A" w:rsidTr="00406799">
        <w:tc>
          <w:tcPr>
            <w:tcW w:w="3118" w:type="dxa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Куратор Программы</w:t>
            </w:r>
          </w:p>
        </w:tc>
        <w:tc>
          <w:tcPr>
            <w:tcW w:w="340" w:type="dxa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 xml:space="preserve">заместитель Председателя Правительства Республики Тыва </w:t>
            </w:r>
            <w:proofErr w:type="spellStart"/>
            <w:r w:rsidRPr="00206F4A">
              <w:rPr>
                <w:b w:val="0"/>
                <w:sz w:val="24"/>
                <w:szCs w:val="24"/>
              </w:rPr>
              <w:t>Сарыглар</w:t>
            </w:r>
            <w:proofErr w:type="spellEnd"/>
            <w:r w:rsidRPr="00206F4A">
              <w:rPr>
                <w:b w:val="0"/>
                <w:sz w:val="24"/>
                <w:szCs w:val="24"/>
              </w:rPr>
              <w:t xml:space="preserve"> О.Д.</w:t>
            </w:r>
          </w:p>
        </w:tc>
      </w:tr>
      <w:tr w:rsidR="00206F4A" w:rsidRPr="00206F4A" w:rsidTr="00406799">
        <w:tc>
          <w:tcPr>
            <w:tcW w:w="3118" w:type="dxa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Министерство образования Республики Тыва</w:t>
            </w:r>
          </w:p>
        </w:tc>
      </w:tr>
      <w:tr w:rsidR="00206F4A" w:rsidRPr="00206F4A" w:rsidTr="00406799">
        <w:tc>
          <w:tcPr>
            <w:tcW w:w="3118" w:type="dxa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340" w:type="dxa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206F4A">
              <w:rPr>
                <w:b w:val="0"/>
                <w:sz w:val="24"/>
                <w:szCs w:val="24"/>
              </w:rPr>
              <w:t>Министерство культуры Республики Тыва, Министерство спорта Республики Тыва, Министерство по делам молодежи Республики Тыва, Региональный ресурсный центр по реализации федерального проекта "Навигаторы детства", Региональное отделение Общероссийского общественно-государственного движения детей и молодежи "Движение первых" Республики Тыва, Национальный музей им. Алдан-</w:t>
            </w:r>
            <w:proofErr w:type="spellStart"/>
            <w:r w:rsidRPr="00206F4A">
              <w:rPr>
                <w:b w:val="0"/>
                <w:sz w:val="24"/>
                <w:szCs w:val="24"/>
              </w:rPr>
              <w:t>Маадыр</w:t>
            </w:r>
            <w:proofErr w:type="spellEnd"/>
            <w:r w:rsidRPr="00206F4A">
              <w:rPr>
                <w:b w:val="0"/>
                <w:sz w:val="24"/>
                <w:szCs w:val="24"/>
              </w:rPr>
              <w:t xml:space="preserve"> Республики Тыва, Военный комиссариат Республики Тыва (по согласованию), региональное отделение ДОСААФ России по Республике Тыва (по согласованию), 55 отдельная гвардейская мотострелковая</w:t>
            </w:r>
            <w:proofErr w:type="gramEnd"/>
            <w:r w:rsidRPr="00206F4A">
              <w:rPr>
                <w:b w:val="0"/>
                <w:sz w:val="24"/>
                <w:szCs w:val="24"/>
              </w:rPr>
              <w:t xml:space="preserve"> бригада (горная) (по согласованию), органы местного самоуправления Республики Тыва (по согласованию)</w:t>
            </w:r>
          </w:p>
        </w:tc>
      </w:tr>
      <w:tr w:rsidR="00206F4A" w:rsidRPr="00206F4A" w:rsidTr="00406799">
        <w:tc>
          <w:tcPr>
            <w:tcW w:w="9071" w:type="dxa"/>
            <w:gridSpan w:val="3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 xml:space="preserve">(в ред. </w:t>
            </w:r>
            <w:hyperlink r:id="rId5" w:history="1">
              <w:r w:rsidRPr="00206F4A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206F4A">
              <w:rPr>
                <w:b w:val="0"/>
                <w:sz w:val="24"/>
                <w:szCs w:val="24"/>
              </w:rPr>
              <w:t xml:space="preserve"> Правительства РТ от 21.05.2024 N 243)</w:t>
            </w:r>
          </w:p>
        </w:tc>
      </w:tr>
      <w:tr w:rsidR="00206F4A" w:rsidRPr="00206F4A" w:rsidTr="00406799">
        <w:tc>
          <w:tcPr>
            <w:tcW w:w="3118" w:type="dxa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Период реализации</w:t>
            </w:r>
          </w:p>
        </w:tc>
        <w:tc>
          <w:tcPr>
            <w:tcW w:w="340" w:type="dxa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один этап: 2024 - 2030 гг.</w:t>
            </w:r>
          </w:p>
        </w:tc>
      </w:tr>
      <w:tr w:rsidR="00206F4A" w:rsidRPr="00206F4A" w:rsidTr="00406799">
        <w:tc>
          <w:tcPr>
            <w:tcW w:w="3118" w:type="dxa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формирование системы патриотического воспитания детей и молодежи Республики Тыва через создание условий для укрепления чувства сопричастности к великой истории и культуре России;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формирование целостного мировоз</w:t>
            </w:r>
            <w:bookmarkStart w:id="0" w:name="_GoBack"/>
            <w:bookmarkEnd w:id="0"/>
            <w:r w:rsidRPr="00206F4A">
              <w:rPr>
                <w:b w:val="0"/>
                <w:sz w:val="24"/>
                <w:szCs w:val="24"/>
              </w:rPr>
              <w:t>зрения молодежи, основанного на ценностях патриотизма, здорового образа жизни и воспитание гражданина, имеющего активную жизненную позицию;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патриотическое воспитание подрастающего поколения на основе духовно-нравственных ценностей народов Российской Федерации, исторических и национально-культурных традиций с учетов территориального расположения региона;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укрепление престижа службы в Вооруженных Силах Российской Федерации</w:t>
            </w:r>
          </w:p>
        </w:tc>
      </w:tr>
      <w:tr w:rsidR="00206F4A" w:rsidRPr="00206F4A" w:rsidTr="00406799">
        <w:tc>
          <w:tcPr>
            <w:tcW w:w="9071" w:type="dxa"/>
            <w:gridSpan w:val="3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 xml:space="preserve">(позиция в ред. </w:t>
            </w:r>
            <w:hyperlink r:id="rId6" w:history="1">
              <w:r w:rsidRPr="00206F4A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206F4A">
              <w:rPr>
                <w:b w:val="0"/>
                <w:sz w:val="24"/>
                <w:szCs w:val="24"/>
              </w:rPr>
              <w:t xml:space="preserve"> Правительства РТ от 21.05.2024 N 243)</w:t>
            </w:r>
          </w:p>
        </w:tc>
      </w:tr>
      <w:tr w:rsidR="00206F4A" w:rsidRPr="00206F4A" w:rsidTr="00406799">
        <w:tc>
          <w:tcPr>
            <w:tcW w:w="3118" w:type="dxa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40" w:type="dxa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180" w:history="1">
              <w:r w:rsidRPr="00206F4A">
                <w:rPr>
                  <w:b w:val="0"/>
                  <w:sz w:val="24"/>
                  <w:szCs w:val="24"/>
                </w:rPr>
                <w:t>подпрограмма 1</w:t>
              </w:r>
            </w:hyperlink>
            <w:r w:rsidRPr="00206F4A">
              <w:rPr>
                <w:b w:val="0"/>
                <w:sz w:val="24"/>
                <w:szCs w:val="24"/>
              </w:rPr>
              <w:t xml:space="preserve"> "Методическое сопровождение системы патриотического воспитания граждан";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192" w:history="1">
              <w:r w:rsidRPr="00206F4A">
                <w:rPr>
                  <w:b w:val="0"/>
                  <w:sz w:val="24"/>
                  <w:szCs w:val="24"/>
                </w:rPr>
                <w:t>подпрограмма 2</w:t>
              </w:r>
            </w:hyperlink>
            <w:r w:rsidRPr="00206F4A">
              <w:rPr>
                <w:b w:val="0"/>
                <w:sz w:val="24"/>
                <w:szCs w:val="24"/>
              </w:rPr>
              <w:t xml:space="preserve"> "Совершенствование форм и </w:t>
            </w:r>
            <w:r w:rsidRPr="00206F4A">
              <w:rPr>
                <w:b w:val="0"/>
                <w:sz w:val="24"/>
                <w:szCs w:val="24"/>
              </w:rPr>
              <w:lastRenderedPageBreak/>
              <w:t>методов работы по патриотическому воспитанию граждан";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197" w:history="1">
              <w:r w:rsidRPr="00206F4A">
                <w:rPr>
                  <w:b w:val="0"/>
                  <w:sz w:val="24"/>
                  <w:szCs w:val="24"/>
                </w:rPr>
                <w:t>подпрограмма 3</w:t>
              </w:r>
            </w:hyperlink>
            <w:r w:rsidRPr="00206F4A">
              <w:rPr>
                <w:b w:val="0"/>
                <w:sz w:val="24"/>
                <w:szCs w:val="24"/>
              </w:rPr>
              <w:t xml:space="preserve"> "Развитие военно-патриотического воспитания граждан, укрепление престижа службы в Вооруженных Силах Российской Федерации, совершенствование практики шефства";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208" w:history="1">
              <w:r w:rsidRPr="00206F4A">
                <w:rPr>
                  <w:b w:val="0"/>
                  <w:sz w:val="24"/>
                  <w:szCs w:val="24"/>
                </w:rPr>
                <w:t>подпрограмма 4</w:t>
              </w:r>
            </w:hyperlink>
            <w:r w:rsidRPr="00206F4A">
              <w:rPr>
                <w:b w:val="0"/>
                <w:sz w:val="24"/>
                <w:szCs w:val="24"/>
              </w:rPr>
              <w:t xml:space="preserve"> "Информационное обеспечение патриотического воспитания граждан"</w:t>
            </w:r>
          </w:p>
        </w:tc>
      </w:tr>
      <w:tr w:rsidR="00206F4A" w:rsidRPr="00206F4A" w:rsidTr="00406799">
        <w:tc>
          <w:tcPr>
            <w:tcW w:w="3118" w:type="dxa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lastRenderedPageBreak/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общий объем финансирования мероприятий Программы за счет средств республиканского бюджета Республики Тыва составит 56699,6 тыс. рублей, в том числе по годам: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в 2024 г. - 4414,0 тыс. рублей, в том числе: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федеральный бюджет - 0 руб.;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республиканский бюджет - 4414,0 тыс. рублей;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внебюджетные средства - 0 руб.;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в 2025 г. - 866,9 тыс. рублей, в том числе: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федеральный бюджет - 0 руб.;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республиканский бюджет - 866,9 тыс. рублей;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внебюджетные средства - 0 руб.;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в 2026 г. - 818,7 тыс. рублей, в том числе: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федеральный бюджет - 0 руб.;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республиканский бюджет - 818,7 тыс. рублей;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внебюджетные средства - 0 руб.;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в 2027 г. - 12500,0 тыс. рублей, в том числе: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федеральный бюджет - 0 руб.;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республиканский бюджет - 12500,0 тыс. рублей;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внебюджетные средства - 0 руб.;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в 2028 г. - 12500,0 тыс. рублей, в том числе: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федеральный бюджет - 0 руб.;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республиканский бюджет - 12500,0 тыс. рублей;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внебюджетные средства - 0 руб.;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в 2029 г. - 12500,0 тыс. рублей, в том числе: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федеральный бюджет - 0 руб.;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республиканский бюджет - 12500,0 тыс. рублей;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внебюджетные средства - 0 руб.;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в 2030 г. - 13100,0 тыс. рублей, в том числе: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федеральный бюджет - 0 руб.;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республиканский бюджет - 13100,0 тыс. рублей;</w:t>
            </w:r>
          </w:p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внебюджетные средства - 0 руб.</w:t>
            </w:r>
          </w:p>
        </w:tc>
      </w:tr>
      <w:tr w:rsidR="00206F4A" w:rsidRPr="00206F4A" w:rsidTr="00406799">
        <w:tc>
          <w:tcPr>
            <w:tcW w:w="9071" w:type="dxa"/>
            <w:gridSpan w:val="3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 xml:space="preserve">(позиция в ред. </w:t>
            </w:r>
            <w:hyperlink r:id="rId7" w:history="1">
              <w:r w:rsidRPr="00206F4A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206F4A">
              <w:rPr>
                <w:b w:val="0"/>
                <w:sz w:val="24"/>
                <w:szCs w:val="24"/>
              </w:rPr>
              <w:t xml:space="preserve"> Правительства РТ от 21.05.2024 N 243)</w:t>
            </w:r>
          </w:p>
        </w:tc>
      </w:tr>
      <w:tr w:rsidR="00206F4A" w:rsidRPr="00206F4A" w:rsidTr="00406799">
        <w:tc>
          <w:tcPr>
            <w:tcW w:w="3118" w:type="dxa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Федерации/ государственной программой</w:t>
            </w:r>
          </w:p>
        </w:tc>
        <w:tc>
          <w:tcPr>
            <w:tcW w:w="340" w:type="dxa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206F4A" w:rsidRPr="00206F4A" w:rsidRDefault="00206F4A" w:rsidP="00206F4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06F4A">
              <w:rPr>
                <w:b w:val="0"/>
                <w:sz w:val="24"/>
                <w:szCs w:val="24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</w:tc>
      </w:tr>
    </w:tbl>
    <w:p w:rsidR="00BD1621" w:rsidRPr="00206F4A" w:rsidRDefault="00BD1621" w:rsidP="00206F4A">
      <w:pPr>
        <w:pStyle w:val="ConsPlusTitle"/>
        <w:jc w:val="center"/>
        <w:outlineLvl w:val="1"/>
        <w:rPr>
          <w:sz w:val="24"/>
          <w:szCs w:val="24"/>
        </w:rPr>
      </w:pPr>
    </w:p>
    <w:sectPr w:rsidR="00BD1621" w:rsidRPr="0020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4A"/>
    <w:rsid w:val="00206F4A"/>
    <w:rsid w:val="00B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206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206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42456&amp;dst=1000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42456&amp;dst=100008" TargetMode="External"/><Relationship Id="rId5" Type="http://schemas.openxmlformats.org/officeDocument/2006/relationships/hyperlink" Target="https://login.consultant.ru/link/?req=doc&amp;base=RLAW434&amp;n=42456&amp;dst=10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1</cp:revision>
  <dcterms:created xsi:type="dcterms:W3CDTF">2024-10-13T09:27:00Z</dcterms:created>
  <dcterms:modified xsi:type="dcterms:W3CDTF">2024-10-13T09:28:00Z</dcterms:modified>
</cp:coreProperties>
</file>