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9" w:rsidRPr="006730C9" w:rsidRDefault="006730C9" w:rsidP="006730C9">
      <w:pPr>
        <w:pStyle w:val="ConsPlusTitle"/>
        <w:jc w:val="center"/>
        <w:outlineLvl w:val="1"/>
        <w:rPr>
          <w:sz w:val="24"/>
          <w:szCs w:val="24"/>
        </w:rPr>
      </w:pPr>
      <w:r w:rsidRPr="006730C9">
        <w:rPr>
          <w:sz w:val="24"/>
          <w:szCs w:val="24"/>
        </w:rPr>
        <w:t>ПАСПОРТ</w:t>
      </w:r>
    </w:p>
    <w:p w:rsidR="006730C9" w:rsidRPr="006730C9" w:rsidRDefault="006730C9" w:rsidP="006730C9">
      <w:pPr>
        <w:pStyle w:val="ConsPlusTitle"/>
        <w:jc w:val="center"/>
        <w:outlineLvl w:val="1"/>
        <w:rPr>
          <w:sz w:val="24"/>
          <w:szCs w:val="24"/>
        </w:rPr>
      </w:pPr>
      <w:r w:rsidRPr="006730C9">
        <w:rPr>
          <w:sz w:val="24"/>
          <w:szCs w:val="24"/>
        </w:rPr>
        <w:t>государственной программы Республики Тыва</w:t>
      </w:r>
    </w:p>
    <w:p w:rsidR="006730C9" w:rsidRPr="006730C9" w:rsidRDefault="006730C9" w:rsidP="006730C9">
      <w:pPr>
        <w:pStyle w:val="ConsPlusTitle"/>
        <w:jc w:val="center"/>
        <w:outlineLvl w:val="1"/>
        <w:rPr>
          <w:sz w:val="24"/>
          <w:szCs w:val="24"/>
        </w:rPr>
      </w:pPr>
      <w:r w:rsidRPr="006730C9">
        <w:rPr>
          <w:sz w:val="24"/>
          <w:szCs w:val="24"/>
        </w:rPr>
        <w:t>"Развитие транспортной системы Республики Тыва"</w:t>
      </w:r>
    </w:p>
    <w:p w:rsidR="006730C9" w:rsidRPr="006730C9" w:rsidRDefault="006730C9" w:rsidP="006730C9">
      <w:pPr>
        <w:pStyle w:val="ConsPlusTitle"/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(далее - Программа)</w:t>
      </w:r>
    </w:p>
    <w:p w:rsidR="006730C9" w:rsidRPr="006730C9" w:rsidRDefault="006730C9" w:rsidP="006730C9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первый заместитель Председателя Правительства Республики Тыва Донских В.А.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Министерство дорожно-транспортного комплекса Республики Тыва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Соисполнитель государственной Программы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6730C9">
              <w:rPr>
                <w:b w:val="0"/>
                <w:sz w:val="24"/>
                <w:szCs w:val="24"/>
              </w:rPr>
              <w:t>Министерство строительства Республики Тыва, Министерство земельных и имущественных отношений Республики Тыва, Министерство образования Республики Тыва, Министерство внутренних дел по Республике Тыва (по согласованию), ФКУ "</w:t>
            </w:r>
            <w:proofErr w:type="spellStart"/>
            <w:r w:rsidRPr="006730C9">
              <w:rPr>
                <w:b w:val="0"/>
                <w:sz w:val="24"/>
                <w:szCs w:val="24"/>
              </w:rPr>
              <w:t>Упрдор</w:t>
            </w:r>
            <w:proofErr w:type="spellEnd"/>
            <w:r w:rsidRPr="006730C9">
              <w:rPr>
                <w:b w:val="0"/>
                <w:sz w:val="24"/>
                <w:szCs w:val="24"/>
              </w:rPr>
              <w:t xml:space="preserve"> "Енисей" (по согласованию), ГКУ Республики Тыва "Управление автомобильных дорог Республики Тыва", ГУП Республики Тыва "Центр организации дорожного движения", РКП "АК "</w:t>
            </w:r>
            <w:proofErr w:type="spellStart"/>
            <w:r w:rsidRPr="006730C9">
              <w:rPr>
                <w:b w:val="0"/>
                <w:sz w:val="24"/>
                <w:szCs w:val="24"/>
              </w:rPr>
              <w:t>ТуваАвиа</w:t>
            </w:r>
            <w:proofErr w:type="spellEnd"/>
            <w:r w:rsidRPr="006730C9">
              <w:rPr>
                <w:b w:val="0"/>
                <w:sz w:val="24"/>
                <w:szCs w:val="24"/>
              </w:rPr>
              <w:t>", ООО "</w:t>
            </w:r>
            <w:proofErr w:type="spellStart"/>
            <w:r w:rsidRPr="006730C9">
              <w:rPr>
                <w:b w:val="0"/>
                <w:sz w:val="24"/>
                <w:szCs w:val="24"/>
              </w:rPr>
              <w:t>Туваавтотранс</w:t>
            </w:r>
            <w:proofErr w:type="spellEnd"/>
            <w:r w:rsidRPr="006730C9">
              <w:rPr>
                <w:b w:val="0"/>
                <w:sz w:val="24"/>
                <w:szCs w:val="24"/>
              </w:rPr>
              <w:t>" (по согласованию), органы местного самоуправления (по согласованию)</w:t>
            </w:r>
            <w:proofErr w:type="gramEnd"/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2024 - 2030 годы, без деления на этапы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1) развитие и совершенствование сети автомобильных дорог общего пользования Республики Тыва;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2) создание условий для устойчивого и безопасного функционирования транспортного комплекса;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3) удовлетворение потребности в транспортных услугах населения и отраслей;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4) 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5) сокращение на территории Республики Тыва количества лиц, погибших в результате дорожно-транспортных происшествий (далее - ДТП);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6) снижение уровня ДТП с пострадавшими на автодорогах федерального, регионального и межмуниципального значения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EA0EA0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64" w:history="1">
              <w:r w:rsidR="006730C9" w:rsidRPr="006730C9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6730C9" w:rsidRPr="006730C9">
              <w:rPr>
                <w:b w:val="0"/>
                <w:sz w:val="24"/>
                <w:szCs w:val="24"/>
              </w:rPr>
              <w:t xml:space="preserve"> "Автомобильные дороги и дорожное хозяйство";</w:t>
            </w:r>
          </w:p>
          <w:p w:rsidR="006730C9" w:rsidRPr="006730C9" w:rsidRDefault="00EA0EA0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80" w:history="1">
              <w:r w:rsidR="006730C9" w:rsidRPr="006730C9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6730C9" w:rsidRPr="006730C9">
              <w:rPr>
                <w:b w:val="0"/>
                <w:sz w:val="24"/>
                <w:szCs w:val="24"/>
              </w:rPr>
              <w:t xml:space="preserve"> "Транспорт";</w:t>
            </w:r>
          </w:p>
          <w:p w:rsidR="006730C9" w:rsidRPr="006730C9" w:rsidRDefault="00EA0EA0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38" w:history="1">
              <w:r w:rsidR="006730C9" w:rsidRPr="006730C9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6730C9" w:rsidRPr="006730C9">
              <w:rPr>
                <w:b w:val="0"/>
                <w:sz w:val="24"/>
                <w:szCs w:val="24"/>
              </w:rPr>
              <w:t xml:space="preserve"> "Повышение безопасности дорожного движения"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 xml:space="preserve">Объем финансового обеспечения за счет всех источников за весь период </w:t>
            </w:r>
            <w:r w:rsidRPr="006730C9">
              <w:rPr>
                <w:b w:val="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lastRenderedPageBreak/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общий объем финансирования - 86596985,8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- 2684816,20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lastRenderedPageBreak/>
              <w:t>в 2025 г. - 4468187,20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- 4052635,50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- 70422866,59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- 1550657,66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- 1652911,02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- 1764911,63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средства федерального бюджета - 3670030,40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- 590825,2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- 1718890,90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- 1360314,30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средства республиканского бюджета - 29952846,78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- 2093991,00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- 2749296,30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- 2692321,20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- 17448757,97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- 1550657,66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- 1652911,02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- 1764911,63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внебюджетные средства - 52974108,62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- 52974108,62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- 0 тыс. рублей.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64" w:history="1">
              <w:r w:rsidRPr="006730C9">
                <w:rPr>
                  <w:b w:val="0"/>
                  <w:sz w:val="24"/>
                  <w:szCs w:val="24"/>
                </w:rPr>
                <w:t>подпрограммы 1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"Автомобильные дороги и дорожное хозяйство" составляет 82897948,30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- 2214410,20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- 4036003,90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- 3702827,30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- 69822967,59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- 943123,66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- 1037436,02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- 1141179,63 тыс. рублей.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180" w:history="1">
              <w:r w:rsidRPr="006730C9">
                <w:rPr>
                  <w:b w:val="0"/>
                  <w:sz w:val="24"/>
                  <w:szCs w:val="24"/>
                </w:rPr>
                <w:t>подпрограммы 2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"Транспорт" составляет 2187269,50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- 268837,00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- 180222,30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- 97846,20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- 398330,0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- 405965,0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lastRenderedPageBreak/>
              <w:t>в 2029 г. - 413906,0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- 422163,0 тыс. рублей.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 xml:space="preserve">Объем финансирования </w:t>
            </w:r>
            <w:hyperlink w:anchor="Par238" w:history="1">
              <w:r w:rsidRPr="006730C9">
                <w:rPr>
                  <w:b w:val="0"/>
                  <w:sz w:val="24"/>
                  <w:szCs w:val="24"/>
                </w:rPr>
                <w:t>подпрограммы 3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"Повышение безопасности дорожного движения" составляет 1511768,00 тыс. рублей, в том числе по годам: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2024 г. - 201569,00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2025 г. - 251961,00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2026 г. - 251962,00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2027 г. - 201569,0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2028 г. - 201569,0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2029 г. - 201569,0 тыс. рублей;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в 2030 г. - 201569,0 тыс. рублей.</w:t>
            </w:r>
          </w:p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Финансирование мероприятий подпрограмм будет ежегодно корректироваться исходя из возможностей республиканского бюджета Республики Тыва, федерального бюджета и внебюджетных источников</w:t>
            </w:r>
          </w:p>
        </w:tc>
      </w:tr>
      <w:tr w:rsidR="006730C9" w:rsidRPr="006730C9" w:rsidTr="00406799">
        <w:tc>
          <w:tcPr>
            <w:tcW w:w="3118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6730C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6730C9" w:rsidRPr="006730C9" w:rsidRDefault="006730C9" w:rsidP="006730C9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proofErr w:type="gramStart"/>
            <w:r w:rsidRPr="006730C9">
              <w:rPr>
                <w:b w:val="0"/>
                <w:sz w:val="24"/>
                <w:szCs w:val="24"/>
              </w:rPr>
              <w:t xml:space="preserve">Программа разработана в соответствии с целями и задачами, установленными </w:t>
            </w:r>
            <w:hyperlink r:id="rId5" w:history="1">
              <w:r w:rsidRPr="006730C9">
                <w:rPr>
                  <w:b w:val="0"/>
                  <w:sz w:val="24"/>
                  <w:szCs w:val="24"/>
                </w:rPr>
                <w:t>Указом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национальным </w:t>
            </w:r>
            <w:hyperlink r:id="rId6" w:history="1">
              <w:r w:rsidRPr="006730C9">
                <w:rPr>
                  <w:b w:val="0"/>
                  <w:sz w:val="24"/>
                  <w:szCs w:val="24"/>
                </w:rPr>
                <w:t>проектом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"Безопасные и качественные автомобильные дороги", </w:t>
            </w:r>
            <w:hyperlink r:id="rId7" w:history="1">
              <w:r w:rsidRPr="006730C9">
                <w:rPr>
                  <w:b w:val="0"/>
                  <w:sz w:val="24"/>
                  <w:szCs w:val="24"/>
                </w:rPr>
                <w:t>распоряжением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Правительства РФ от 27 ноября 2021 г. N 3363-р "О Транспортной стратегии Российской Федерации до 2030 года с</w:t>
            </w:r>
            <w:proofErr w:type="gramEnd"/>
            <w:r w:rsidRPr="006730C9">
              <w:rPr>
                <w:b w:val="0"/>
                <w:sz w:val="24"/>
                <w:szCs w:val="24"/>
              </w:rPr>
              <w:t xml:space="preserve"> прогнозом на период до 2035 года", </w:t>
            </w:r>
            <w:hyperlink r:id="rId8" w:history="1">
              <w:r w:rsidRPr="006730C9">
                <w:rPr>
                  <w:b w:val="0"/>
                  <w:sz w:val="24"/>
                  <w:szCs w:val="24"/>
                </w:rPr>
                <w:t>распоряжением</w:t>
              </w:r>
            </w:hyperlink>
            <w:r w:rsidRPr="006730C9">
              <w:rPr>
                <w:b w:val="0"/>
                <w:sz w:val="24"/>
                <w:szCs w:val="24"/>
              </w:rPr>
              <w:t xml:space="preserve"> Правительства Российской Федерации от 8 января 2018 г. N 1-р "Об утверждении Стратегии безопасности дорожного движения в Российской Федерации на 2018 - 202</w:t>
            </w:r>
            <w:r w:rsidR="00EA0EA0">
              <w:rPr>
                <w:b w:val="0"/>
                <w:sz w:val="24"/>
                <w:szCs w:val="24"/>
              </w:rPr>
              <w:t>4 годы".</w:t>
            </w:r>
            <w:bookmarkStart w:id="0" w:name="_GoBack"/>
            <w:bookmarkEnd w:id="0"/>
          </w:p>
        </w:tc>
      </w:tr>
    </w:tbl>
    <w:p w:rsidR="00BD1621" w:rsidRDefault="00BD1621"/>
    <w:sectPr w:rsidR="00BD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9"/>
    <w:rsid w:val="006730C9"/>
    <w:rsid w:val="00BD1621"/>
    <w:rsid w:val="00EA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673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30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6730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8413&amp;dst=1000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052&amp;dst=10000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9975" TargetMode="External"/><Relationship Id="rId5" Type="http://schemas.openxmlformats.org/officeDocument/2006/relationships/hyperlink" Target="https://login.consultant.ru/link/?req=doc&amp;base=LAW&amp;n=35802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2024-10-13T07:31:00Z</dcterms:created>
  <dcterms:modified xsi:type="dcterms:W3CDTF">2024-10-27T04:16:00Z</dcterms:modified>
</cp:coreProperties>
</file>