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5D" w:rsidRDefault="0084475D" w:rsidP="0084475D">
      <w:pPr>
        <w:pStyle w:val="ConsPlusNormal"/>
        <w:jc w:val="both"/>
      </w:pP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  <w:bookmarkStart w:id="0" w:name="Par45"/>
      <w:bookmarkEnd w:id="0"/>
      <w:r w:rsidRPr="0084475D">
        <w:rPr>
          <w:sz w:val="24"/>
          <w:szCs w:val="24"/>
        </w:rPr>
        <w:t>ПАСПОРТ</w:t>
      </w: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  <w:r w:rsidRPr="0084475D">
        <w:rPr>
          <w:sz w:val="24"/>
          <w:szCs w:val="24"/>
        </w:rPr>
        <w:t>государственной программы Республики Тыва</w:t>
      </w: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  <w:r w:rsidRPr="0084475D">
        <w:rPr>
          <w:sz w:val="24"/>
          <w:szCs w:val="24"/>
        </w:rPr>
        <w:t>"Повышение эффективности управления</w:t>
      </w: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  <w:r w:rsidRPr="0084475D">
        <w:rPr>
          <w:sz w:val="24"/>
          <w:szCs w:val="24"/>
        </w:rPr>
        <w:t>общественными финансами Республики Тыва"</w:t>
      </w: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  <w:r w:rsidRPr="0084475D">
        <w:rPr>
          <w:sz w:val="24"/>
          <w:szCs w:val="24"/>
        </w:rPr>
        <w:t>(далее - Программа)</w:t>
      </w:r>
    </w:p>
    <w:p w:rsidR="0084475D" w:rsidRPr="0084475D" w:rsidRDefault="0084475D" w:rsidP="0084475D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Владимир Александрович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Соисполнитель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 xml:space="preserve">Министерство образования Республики Тыва, администрации муниципальных образований (по согласованию), Управление Федеральной налоговой службы по Республике Тыва (по согласованию), Управление </w:t>
            </w:r>
            <w:proofErr w:type="spellStart"/>
            <w:r w:rsidRPr="0084475D">
              <w:rPr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84475D">
              <w:rPr>
                <w:b w:val="0"/>
                <w:sz w:val="24"/>
                <w:szCs w:val="24"/>
              </w:rPr>
              <w:t xml:space="preserve"> по Республике Тыва (по согласованию), Управление Федеральной службы судебных приставов по Республике Тыва (по согласованию), Отделение Фонда пенсионного и социального страхования России по Республике Тыва (по согласованию), ФГБОУ </w:t>
            </w:r>
            <w:proofErr w:type="gramStart"/>
            <w:r w:rsidRPr="0084475D">
              <w:rPr>
                <w:b w:val="0"/>
                <w:sz w:val="24"/>
                <w:szCs w:val="24"/>
              </w:rPr>
              <w:t>ВО</w:t>
            </w:r>
            <w:proofErr w:type="gramEnd"/>
            <w:r w:rsidRPr="0084475D">
              <w:rPr>
                <w:b w:val="0"/>
                <w:sz w:val="24"/>
                <w:szCs w:val="24"/>
              </w:rPr>
              <w:t xml:space="preserve"> "Тувинский государственный университет" (по согласованию), </w:t>
            </w:r>
            <w:proofErr w:type="spellStart"/>
            <w:r w:rsidRPr="0084475D">
              <w:rPr>
                <w:b w:val="0"/>
                <w:sz w:val="24"/>
                <w:szCs w:val="24"/>
              </w:rPr>
              <w:t>Кызылское</w:t>
            </w:r>
            <w:proofErr w:type="spellEnd"/>
            <w:r w:rsidRPr="0084475D">
              <w:rPr>
                <w:b w:val="0"/>
                <w:sz w:val="24"/>
                <w:szCs w:val="24"/>
              </w:rPr>
              <w:t xml:space="preserve"> отделение </w:t>
            </w:r>
            <w:bookmarkStart w:id="1" w:name="_GoBack"/>
            <w:bookmarkEnd w:id="1"/>
            <w:r w:rsidRPr="0084475D">
              <w:rPr>
                <w:b w:val="0"/>
                <w:sz w:val="24"/>
                <w:szCs w:val="24"/>
              </w:rPr>
              <w:t>N 8591 ПАО "Сбербанк" (по согласованию), Тувинский региональный филиал АО "</w:t>
            </w:r>
            <w:proofErr w:type="spellStart"/>
            <w:r w:rsidRPr="0084475D">
              <w:rPr>
                <w:b w:val="0"/>
                <w:sz w:val="24"/>
                <w:szCs w:val="24"/>
              </w:rPr>
              <w:t>Россельхозбанк</w:t>
            </w:r>
            <w:proofErr w:type="spellEnd"/>
            <w:r w:rsidRPr="0084475D">
              <w:rPr>
                <w:b w:val="0"/>
                <w:sz w:val="24"/>
                <w:szCs w:val="24"/>
              </w:rPr>
              <w:t>" (по согласованию), операционный офис "ТО "Тувинский" Сибирского филиала ПАО "Росбанк" (по согласованию), ПАО "Промсвязьбанк" (по согласованию), образовательные учреждения основного общего, полного среднего, среднего профессионального и высшего образования и органы государственного и муниципального финансового контроля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2024 - 2030 гг.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 xml:space="preserve">сохранение финансовой стабильности </w:t>
            </w:r>
            <w:proofErr w:type="gramStart"/>
            <w:r w:rsidRPr="0084475D">
              <w:rPr>
                <w:b w:val="0"/>
                <w:sz w:val="24"/>
                <w:szCs w:val="24"/>
              </w:rPr>
              <w:t>республиканского</w:t>
            </w:r>
            <w:proofErr w:type="gramEnd"/>
            <w:r w:rsidRPr="0084475D">
              <w:rPr>
                <w:b w:val="0"/>
                <w:sz w:val="24"/>
                <w:szCs w:val="24"/>
              </w:rPr>
              <w:t xml:space="preserve"> и местных бюджетов в Республике Тыва;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повышение уровня финансовой грамотности жителей Республики Тыва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Задачи государственной программы Республики Тыва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повышение устойчивости исполнения местных бюджетов в Республике Тыва;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эффективное управление государственным долгом Республики Тыва;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повышение финансовой грамотности жителей Республики Тыва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13" w:history="1">
              <w:r w:rsidRPr="0084475D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84475D">
              <w:rPr>
                <w:b w:val="0"/>
                <w:sz w:val="24"/>
                <w:szCs w:val="24"/>
              </w:rPr>
              <w:t xml:space="preserve"> "Повышение устойчивости исполнения местных бюджетов в Республике Тыва";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27" w:history="1">
              <w:r w:rsidRPr="0084475D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84475D">
              <w:rPr>
                <w:b w:val="0"/>
                <w:sz w:val="24"/>
                <w:szCs w:val="24"/>
              </w:rPr>
              <w:t xml:space="preserve"> "Управление государственным долгом Республики Тыва";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39" w:history="1">
              <w:r w:rsidRPr="0084475D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84475D">
              <w:rPr>
                <w:b w:val="0"/>
                <w:sz w:val="24"/>
                <w:szCs w:val="24"/>
              </w:rPr>
              <w:t xml:space="preserve"> "Повышение финансовой грамотности жителей Республики Тыва"</w:t>
            </w:r>
          </w:p>
        </w:tc>
      </w:tr>
      <w:tr w:rsidR="0084475D" w:rsidRPr="0084475D" w:rsidTr="00406799">
        <w:tc>
          <w:tcPr>
            <w:tcW w:w="3118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общий объем финансирования Программы за весь срок ее реализации составит 14662751,9 тыс. рублей за счет средств республиканского бюджета, в том числе: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2024 г. - 2517453,6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2025 г. - 1884385,7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2026 г. - 1809013,2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2027 г. - 1996837,0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2028 г. - 2072254,3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2029 г. - 2150155,0 тыс. рублей;</w:t>
            </w:r>
          </w:p>
          <w:p w:rsidR="0084475D" w:rsidRPr="0084475D" w:rsidRDefault="0084475D" w:rsidP="0084475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84475D">
              <w:rPr>
                <w:b w:val="0"/>
                <w:sz w:val="24"/>
                <w:szCs w:val="24"/>
              </w:rPr>
              <w:t>в 2030 г. - 2232653,1 тыс. рублей.</w:t>
            </w:r>
          </w:p>
        </w:tc>
      </w:tr>
    </w:tbl>
    <w:p w:rsidR="00BD1621" w:rsidRDefault="00BD1621"/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5D"/>
    <w:rsid w:val="0084475D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44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44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2024-10-13T05:23:00Z</dcterms:created>
  <dcterms:modified xsi:type="dcterms:W3CDTF">2024-10-13T07:18:00Z</dcterms:modified>
</cp:coreProperties>
</file>