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FAD" w:rsidRPr="00F01FAD" w:rsidRDefault="00F01FAD" w:rsidP="00F01FAD">
      <w:pPr>
        <w:pStyle w:val="ConsPlusTitle"/>
        <w:jc w:val="center"/>
        <w:outlineLvl w:val="1"/>
        <w:rPr>
          <w:sz w:val="24"/>
          <w:szCs w:val="24"/>
        </w:rPr>
      </w:pPr>
      <w:r w:rsidRPr="00F01FAD">
        <w:rPr>
          <w:sz w:val="24"/>
          <w:szCs w:val="24"/>
        </w:rPr>
        <w:t>ПАСПОРТ</w:t>
      </w:r>
    </w:p>
    <w:p w:rsidR="00F01FAD" w:rsidRPr="00F01FAD" w:rsidRDefault="00F01FAD" w:rsidP="00F01FAD">
      <w:pPr>
        <w:pStyle w:val="ConsPlusTitle"/>
        <w:jc w:val="center"/>
        <w:outlineLvl w:val="1"/>
        <w:rPr>
          <w:sz w:val="24"/>
          <w:szCs w:val="24"/>
        </w:rPr>
      </w:pPr>
      <w:r w:rsidRPr="00F01FAD">
        <w:rPr>
          <w:sz w:val="24"/>
          <w:szCs w:val="24"/>
        </w:rPr>
        <w:t>государственной программы Республики Тыва</w:t>
      </w:r>
    </w:p>
    <w:p w:rsidR="00F01FAD" w:rsidRPr="00F01FAD" w:rsidRDefault="00F01FAD" w:rsidP="00F01FAD">
      <w:pPr>
        <w:pStyle w:val="ConsPlusTitle"/>
        <w:jc w:val="center"/>
        <w:outlineLvl w:val="1"/>
        <w:rPr>
          <w:sz w:val="24"/>
          <w:szCs w:val="24"/>
        </w:rPr>
      </w:pPr>
      <w:r w:rsidRPr="00F01FAD">
        <w:rPr>
          <w:sz w:val="24"/>
          <w:szCs w:val="24"/>
        </w:rPr>
        <w:t>"Развитие информационного общества и средств</w:t>
      </w:r>
    </w:p>
    <w:p w:rsidR="00F01FAD" w:rsidRPr="00F01FAD" w:rsidRDefault="00F01FAD" w:rsidP="00F01FAD">
      <w:pPr>
        <w:pStyle w:val="ConsPlusTitle"/>
        <w:jc w:val="center"/>
        <w:outlineLvl w:val="1"/>
        <w:rPr>
          <w:sz w:val="24"/>
          <w:szCs w:val="24"/>
        </w:rPr>
      </w:pPr>
      <w:r w:rsidRPr="00F01FAD">
        <w:rPr>
          <w:sz w:val="24"/>
          <w:szCs w:val="24"/>
        </w:rPr>
        <w:t>массовой информации в Республике Тыва"</w:t>
      </w:r>
    </w:p>
    <w:p w:rsidR="00F01FAD" w:rsidRPr="00F01FAD" w:rsidRDefault="00F01FAD" w:rsidP="00F01FAD">
      <w:pPr>
        <w:pStyle w:val="ConsPlusTitle"/>
        <w:jc w:val="center"/>
        <w:outlineLvl w:val="1"/>
        <w:rPr>
          <w:sz w:val="24"/>
          <w:szCs w:val="24"/>
        </w:rPr>
      </w:pPr>
      <w:r w:rsidRPr="00F01FAD">
        <w:rPr>
          <w:sz w:val="24"/>
          <w:szCs w:val="24"/>
        </w:rPr>
        <w:t>(далее - Программа)</w:t>
      </w:r>
    </w:p>
    <w:p w:rsidR="00F01FAD" w:rsidRPr="00F01FAD" w:rsidRDefault="00F01FAD" w:rsidP="00F01FAD">
      <w:pPr>
        <w:pStyle w:val="ConsPlusTitle"/>
        <w:jc w:val="center"/>
        <w:outlineLvl w:val="1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5613"/>
      </w:tblGrid>
      <w:tr w:rsidR="00F01FAD" w:rsidRPr="00F01FAD" w:rsidTr="00406799">
        <w:tc>
          <w:tcPr>
            <w:tcW w:w="3118" w:type="dxa"/>
          </w:tcPr>
          <w:p w:rsidR="00F01FAD" w:rsidRPr="00F01FAD" w:rsidRDefault="00F01FAD" w:rsidP="00F01FA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F01FAD">
              <w:rPr>
                <w:b w:val="0"/>
                <w:sz w:val="24"/>
                <w:szCs w:val="24"/>
              </w:rPr>
              <w:t>Куратор Программы</w:t>
            </w:r>
          </w:p>
        </w:tc>
        <w:tc>
          <w:tcPr>
            <w:tcW w:w="340" w:type="dxa"/>
          </w:tcPr>
          <w:p w:rsidR="00F01FAD" w:rsidRPr="00F01FAD" w:rsidRDefault="00F01FAD" w:rsidP="00F01FA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F01FAD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F01FAD" w:rsidRPr="00F01FAD" w:rsidRDefault="00F01FAD" w:rsidP="00F01FA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F01FAD">
              <w:rPr>
                <w:b w:val="0"/>
                <w:sz w:val="24"/>
                <w:szCs w:val="24"/>
              </w:rPr>
              <w:t>заместитель Председателя Правительства Республики Тыва Лукин О.Н.</w:t>
            </w:r>
          </w:p>
        </w:tc>
      </w:tr>
      <w:tr w:rsidR="00F01FAD" w:rsidRPr="00F01FAD" w:rsidTr="00406799">
        <w:tc>
          <w:tcPr>
            <w:tcW w:w="3118" w:type="dxa"/>
          </w:tcPr>
          <w:p w:rsidR="00F01FAD" w:rsidRPr="00F01FAD" w:rsidRDefault="00F01FAD" w:rsidP="00F01FA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F01FAD">
              <w:rPr>
                <w:b w:val="0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40" w:type="dxa"/>
          </w:tcPr>
          <w:p w:rsidR="00F01FAD" w:rsidRPr="00F01FAD" w:rsidRDefault="00F01FAD" w:rsidP="00F01FA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F01FAD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F01FAD" w:rsidRPr="00F01FAD" w:rsidRDefault="00F01FAD" w:rsidP="00F01FA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F01FAD">
              <w:rPr>
                <w:b w:val="0"/>
                <w:sz w:val="24"/>
                <w:szCs w:val="24"/>
              </w:rPr>
              <w:t>Министерство цифрового развития республики Тыва</w:t>
            </w:r>
          </w:p>
        </w:tc>
      </w:tr>
      <w:tr w:rsidR="00F01FAD" w:rsidRPr="00F01FAD" w:rsidTr="00406799">
        <w:tc>
          <w:tcPr>
            <w:tcW w:w="3118" w:type="dxa"/>
          </w:tcPr>
          <w:p w:rsidR="00F01FAD" w:rsidRPr="00F01FAD" w:rsidRDefault="00F01FAD" w:rsidP="00F01FA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F01FAD">
              <w:rPr>
                <w:b w:val="0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340" w:type="dxa"/>
          </w:tcPr>
          <w:p w:rsidR="00F01FAD" w:rsidRPr="00F01FAD" w:rsidRDefault="00F01FAD" w:rsidP="00F01FA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F01FAD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F01FAD" w:rsidRPr="00F01FAD" w:rsidRDefault="00F01FAD" w:rsidP="00F01FA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proofErr w:type="gramStart"/>
            <w:r w:rsidRPr="00F01FAD">
              <w:rPr>
                <w:b w:val="0"/>
                <w:sz w:val="24"/>
                <w:szCs w:val="24"/>
              </w:rPr>
              <w:t>казенное предприятие Республики Тыва "Центр информационных технологий Республики Тыва", ГАУ Республики Тыва "Многофункциональный центр предоставления государственных и муниципальных услуг Республики Тыва", ГАУ Республики Тыва "Издательский дом "</w:t>
            </w:r>
            <w:proofErr w:type="spellStart"/>
            <w:r w:rsidRPr="00F01FAD">
              <w:rPr>
                <w:b w:val="0"/>
                <w:sz w:val="24"/>
                <w:szCs w:val="24"/>
              </w:rPr>
              <w:t>ТываМедиаГрупп</w:t>
            </w:r>
            <w:proofErr w:type="spellEnd"/>
            <w:r w:rsidRPr="00F01FAD">
              <w:rPr>
                <w:b w:val="0"/>
                <w:sz w:val="24"/>
                <w:szCs w:val="24"/>
              </w:rPr>
              <w:t>", ГАУ Республики Тыва, Министерство образования Республики Тыва, Министерство здравоохранения Республики Тыва, Министерство труда и социальной политики Республики Тыва, Министерство культуры Республики Тыва, Министерство спорта Республики Тыва, Министерство строительства Республики Тыва, Министерство сельского хозяйства</w:t>
            </w:r>
            <w:proofErr w:type="gramEnd"/>
            <w:r w:rsidRPr="00F01FAD">
              <w:rPr>
                <w:b w:val="0"/>
                <w:sz w:val="24"/>
                <w:szCs w:val="24"/>
              </w:rPr>
              <w:t xml:space="preserve"> Республики Тыва, Министерство лесного хозяйства Республики Тыва, Агентство по делам молодежи Республики Тыва</w:t>
            </w:r>
          </w:p>
        </w:tc>
      </w:tr>
      <w:tr w:rsidR="00F01FAD" w:rsidRPr="00F01FAD" w:rsidTr="00406799">
        <w:tc>
          <w:tcPr>
            <w:tcW w:w="3118" w:type="dxa"/>
          </w:tcPr>
          <w:p w:rsidR="00F01FAD" w:rsidRPr="00F01FAD" w:rsidRDefault="00F01FAD" w:rsidP="00F01FA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F01FAD">
              <w:rPr>
                <w:b w:val="0"/>
                <w:sz w:val="24"/>
                <w:szCs w:val="24"/>
              </w:rPr>
              <w:t>Период реализации</w:t>
            </w:r>
          </w:p>
        </w:tc>
        <w:tc>
          <w:tcPr>
            <w:tcW w:w="340" w:type="dxa"/>
          </w:tcPr>
          <w:p w:rsidR="00F01FAD" w:rsidRPr="00F01FAD" w:rsidRDefault="00F01FAD" w:rsidP="00F01FA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F01FAD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F01FAD" w:rsidRPr="00F01FAD" w:rsidRDefault="00F01FAD" w:rsidP="00F01FA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F01FAD">
              <w:rPr>
                <w:b w:val="0"/>
                <w:sz w:val="24"/>
                <w:szCs w:val="24"/>
              </w:rPr>
              <w:t>2024 - 2030 гг.</w:t>
            </w:r>
          </w:p>
          <w:p w:rsidR="00F01FAD" w:rsidRPr="00F01FAD" w:rsidRDefault="00F01FAD" w:rsidP="00F01FA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F01FAD">
              <w:rPr>
                <w:b w:val="0"/>
                <w:sz w:val="24"/>
                <w:szCs w:val="24"/>
              </w:rPr>
              <w:t>Этапы реализации Программы не выделяются</w:t>
            </w:r>
          </w:p>
        </w:tc>
      </w:tr>
      <w:tr w:rsidR="00F01FAD" w:rsidRPr="00F01FAD" w:rsidTr="00406799">
        <w:tc>
          <w:tcPr>
            <w:tcW w:w="3118" w:type="dxa"/>
          </w:tcPr>
          <w:p w:rsidR="00F01FAD" w:rsidRPr="00F01FAD" w:rsidRDefault="00F01FAD" w:rsidP="00F01FA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F01FAD">
              <w:rPr>
                <w:b w:val="0"/>
                <w:sz w:val="24"/>
                <w:szCs w:val="24"/>
              </w:rPr>
              <w:t>Цели Программы</w:t>
            </w:r>
          </w:p>
        </w:tc>
        <w:tc>
          <w:tcPr>
            <w:tcW w:w="340" w:type="dxa"/>
          </w:tcPr>
          <w:p w:rsidR="00F01FAD" w:rsidRPr="00F01FAD" w:rsidRDefault="00F01FAD" w:rsidP="00F01FA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F01FAD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F01FAD" w:rsidRPr="00F01FAD" w:rsidRDefault="00F01FAD" w:rsidP="00F01FA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F01FAD">
              <w:rPr>
                <w:b w:val="0"/>
                <w:sz w:val="24"/>
                <w:szCs w:val="24"/>
              </w:rPr>
              <w:t>Цель 1. Цифровая трансформация ключевых отраслей экономики, социальной сферы и государственного управления.</w:t>
            </w:r>
          </w:p>
          <w:p w:rsidR="00F01FAD" w:rsidRPr="00F01FAD" w:rsidRDefault="00F01FAD" w:rsidP="00F01FA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F01FAD">
              <w:rPr>
                <w:b w:val="0"/>
                <w:sz w:val="24"/>
                <w:szCs w:val="24"/>
              </w:rPr>
              <w:t>Цель 2. Обесп</w:t>
            </w:r>
            <w:bookmarkStart w:id="0" w:name="_GoBack"/>
            <w:bookmarkEnd w:id="0"/>
            <w:r w:rsidRPr="00F01FAD">
              <w:rPr>
                <w:b w:val="0"/>
                <w:sz w:val="24"/>
                <w:szCs w:val="24"/>
              </w:rPr>
              <w:t>ечение получения государственных и муниципальных услуг на базе многофункциональных центров.</w:t>
            </w:r>
          </w:p>
          <w:p w:rsidR="00F01FAD" w:rsidRPr="00F01FAD" w:rsidRDefault="00F01FAD" w:rsidP="00F01FA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F01FAD">
              <w:rPr>
                <w:b w:val="0"/>
                <w:sz w:val="24"/>
                <w:szCs w:val="24"/>
              </w:rPr>
              <w:t>Цель 3. Развитие средств массовой информации, книгоиздания и полиграфии.</w:t>
            </w:r>
          </w:p>
          <w:p w:rsidR="00F01FAD" w:rsidRPr="00F01FAD" w:rsidRDefault="00F01FAD" w:rsidP="00F01FA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F01FAD">
              <w:rPr>
                <w:b w:val="0"/>
                <w:sz w:val="24"/>
                <w:szCs w:val="24"/>
              </w:rPr>
              <w:t>Цель 4. Организация интеграции существующих и планируемых систем сегментов, а также подсистем дежурных, диспетчерских, муниципальных служб в единое информационное пространство системы АПК "Безопасный город"</w:t>
            </w:r>
          </w:p>
        </w:tc>
      </w:tr>
      <w:tr w:rsidR="00F01FAD" w:rsidRPr="00F01FAD" w:rsidTr="00406799">
        <w:tc>
          <w:tcPr>
            <w:tcW w:w="9071" w:type="dxa"/>
            <w:gridSpan w:val="3"/>
          </w:tcPr>
          <w:p w:rsidR="00F01FAD" w:rsidRPr="00F01FAD" w:rsidRDefault="00F01FAD" w:rsidP="00F01FA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F01FAD">
              <w:rPr>
                <w:b w:val="0"/>
                <w:sz w:val="24"/>
                <w:szCs w:val="24"/>
              </w:rPr>
              <w:t xml:space="preserve">(позиция в ред. </w:t>
            </w:r>
            <w:hyperlink r:id="rId5" w:history="1">
              <w:r w:rsidRPr="00F01FAD">
                <w:rPr>
                  <w:b w:val="0"/>
                  <w:sz w:val="24"/>
                  <w:szCs w:val="24"/>
                </w:rPr>
                <w:t>Постановления</w:t>
              </w:r>
            </w:hyperlink>
            <w:r w:rsidRPr="00F01FAD">
              <w:rPr>
                <w:b w:val="0"/>
                <w:sz w:val="24"/>
                <w:szCs w:val="24"/>
              </w:rPr>
              <w:t xml:space="preserve"> Правительства РТ от 10.07.2024 N 349)</w:t>
            </w:r>
          </w:p>
        </w:tc>
      </w:tr>
      <w:tr w:rsidR="00F01FAD" w:rsidRPr="00F01FAD" w:rsidTr="00406799">
        <w:tc>
          <w:tcPr>
            <w:tcW w:w="3118" w:type="dxa"/>
          </w:tcPr>
          <w:p w:rsidR="00F01FAD" w:rsidRPr="00F01FAD" w:rsidRDefault="00F01FAD" w:rsidP="00F01FA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F01FAD">
              <w:rPr>
                <w:b w:val="0"/>
                <w:sz w:val="24"/>
                <w:szCs w:val="24"/>
              </w:rPr>
              <w:t>Направления (подпрограммы) Программы</w:t>
            </w:r>
          </w:p>
        </w:tc>
        <w:tc>
          <w:tcPr>
            <w:tcW w:w="340" w:type="dxa"/>
          </w:tcPr>
          <w:p w:rsidR="00F01FAD" w:rsidRPr="00F01FAD" w:rsidRDefault="00F01FAD" w:rsidP="00F01FA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F01FAD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F01FAD" w:rsidRPr="00F01FAD" w:rsidRDefault="00F01FAD" w:rsidP="00F01FA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317" w:history="1">
              <w:r w:rsidRPr="00F01FAD">
                <w:rPr>
                  <w:b w:val="0"/>
                  <w:sz w:val="24"/>
                  <w:szCs w:val="24"/>
                </w:rPr>
                <w:t>подпрограмма 1</w:t>
              </w:r>
            </w:hyperlink>
            <w:r w:rsidRPr="00F01FAD">
              <w:rPr>
                <w:b w:val="0"/>
                <w:sz w:val="24"/>
                <w:szCs w:val="24"/>
              </w:rPr>
              <w:t xml:space="preserve"> "Развитие информационного общества в Республике Тыва";</w:t>
            </w:r>
          </w:p>
          <w:p w:rsidR="00F01FAD" w:rsidRPr="00F01FAD" w:rsidRDefault="00F01FAD" w:rsidP="00F01FA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431" w:history="1">
              <w:r w:rsidRPr="00F01FAD">
                <w:rPr>
                  <w:b w:val="0"/>
                  <w:sz w:val="24"/>
                  <w:szCs w:val="24"/>
                </w:rPr>
                <w:t>подпрограмма 2</w:t>
              </w:r>
            </w:hyperlink>
            <w:r w:rsidRPr="00F01FAD">
              <w:rPr>
                <w:b w:val="0"/>
                <w:sz w:val="24"/>
                <w:szCs w:val="24"/>
              </w:rPr>
              <w:t xml:space="preserve"> "Повышение качества оказания услуг на базе многофункциональных центров </w:t>
            </w:r>
            <w:r w:rsidRPr="00F01FAD">
              <w:rPr>
                <w:b w:val="0"/>
                <w:sz w:val="24"/>
                <w:szCs w:val="24"/>
              </w:rPr>
              <w:lastRenderedPageBreak/>
              <w:t>предоставления государственных и муниципальных услуг по принципу "одного окна" в Республике Тыва";</w:t>
            </w:r>
          </w:p>
          <w:p w:rsidR="00F01FAD" w:rsidRPr="00F01FAD" w:rsidRDefault="00F01FAD" w:rsidP="00F01FA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444" w:history="1">
              <w:r w:rsidRPr="00F01FAD">
                <w:rPr>
                  <w:b w:val="0"/>
                  <w:sz w:val="24"/>
                  <w:szCs w:val="24"/>
                </w:rPr>
                <w:t>подпрограмма 3</w:t>
              </w:r>
            </w:hyperlink>
            <w:r w:rsidRPr="00F01FAD">
              <w:rPr>
                <w:b w:val="0"/>
                <w:sz w:val="24"/>
                <w:szCs w:val="24"/>
              </w:rPr>
              <w:t xml:space="preserve"> "Развитие средств массовой информации, книгоиздания и полиграфии в Республике Тыва";</w:t>
            </w:r>
          </w:p>
          <w:p w:rsidR="00F01FAD" w:rsidRPr="00F01FAD" w:rsidRDefault="00F01FAD" w:rsidP="00F01FA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460" w:history="1">
              <w:r w:rsidRPr="00F01FAD">
                <w:rPr>
                  <w:b w:val="0"/>
                  <w:sz w:val="24"/>
                  <w:szCs w:val="24"/>
                </w:rPr>
                <w:t>подпрограмма 4</w:t>
              </w:r>
            </w:hyperlink>
            <w:r w:rsidRPr="00F01FAD">
              <w:rPr>
                <w:b w:val="0"/>
                <w:sz w:val="24"/>
                <w:szCs w:val="24"/>
              </w:rPr>
              <w:t xml:space="preserve"> "Организация интеграции систем аппаратно-программного комплекса "Безопасный город" в Республике Тыва</w:t>
            </w:r>
          </w:p>
        </w:tc>
      </w:tr>
      <w:tr w:rsidR="00F01FAD" w:rsidRPr="00F01FAD" w:rsidTr="00406799">
        <w:tc>
          <w:tcPr>
            <w:tcW w:w="9071" w:type="dxa"/>
            <w:gridSpan w:val="3"/>
          </w:tcPr>
          <w:p w:rsidR="00F01FAD" w:rsidRPr="00F01FAD" w:rsidRDefault="00F01FAD" w:rsidP="00F01FA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F01FAD">
              <w:rPr>
                <w:b w:val="0"/>
                <w:sz w:val="24"/>
                <w:szCs w:val="24"/>
              </w:rPr>
              <w:lastRenderedPageBreak/>
              <w:t xml:space="preserve">(позиция в ред. </w:t>
            </w:r>
            <w:hyperlink r:id="rId6" w:history="1">
              <w:r w:rsidRPr="00F01FAD">
                <w:rPr>
                  <w:b w:val="0"/>
                  <w:sz w:val="24"/>
                  <w:szCs w:val="24"/>
                </w:rPr>
                <w:t>Постановления</w:t>
              </w:r>
            </w:hyperlink>
            <w:r w:rsidRPr="00F01FAD">
              <w:rPr>
                <w:b w:val="0"/>
                <w:sz w:val="24"/>
                <w:szCs w:val="24"/>
              </w:rPr>
              <w:t xml:space="preserve"> Правительства РТ от 10.07.2024 N 349)</w:t>
            </w:r>
          </w:p>
        </w:tc>
      </w:tr>
      <w:tr w:rsidR="00F01FAD" w:rsidRPr="00F01FAD" w:rsidTr="00406799">
        <w:tc>
          <w:tcPr>
            <w:tcW w:w="3118" w:type="dxa"/>
          </w:tcPr>
          <w:p w:rsidR="00F01FAD" w:rsidRPr="00F01FAD" w:rsidRDefault="00F01FAD" w:rsidP="00F01FA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F01FAD">
              <w:rPr>
                <w:b w:val="0"/>
                <w:sz w:val="24"/>
                <w:szCs w:val="24"/>
              </w:rPr>
              <w:t>Объемы финансового обеспечения за счет всех источников за весь период реализации</w:t>
            </w:r>
          </w:p>
        </w:tc>
        <w:tc>
          <w:tcPr>
            <w:tcW w:w="340" w:type="dxa"/>
          </w:tcPr>
          <w:p w:rsidR="00F01FAD" w:rsidRPr="00F01FAD" w:rsidRDefault="00F01FAD" w:rsidP="00F01FA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F01FAD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F01FAD" w:rsidRPr="00F01FAD" w:rsidRDefault="00F01FAD" w:rsidP="00F01FA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F01FAD">
              <w:rPr>
                <w:b w:val="0"/>
                <w:sz w:val="24"/>
                <w:szCs w:val="24"/>
              </w:rPr>
              <w:t>общий объем финансирования - 3178256,38 тыс. руб., из них:</w:t>
            </w:r>
          </w:p>
          <w:p w:rsidR="00F01FAD" w:rsidRPr="00F01FAD" w:rsidRDefault="00F01FAD" w:rsidP="00F01FA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F01FAD">
              <w:rPr>
                <w:b w:val="0"/>
                <w:sz w:val="24"/>
                <w:szCs w:val="24"/>
              </w:rPr>
              <w:t>в 2024 г. - 373319,60 тыс. руб.;</w:t>
            </w:r>
          </w:p>
          <w:p w:rsidR="00F01FAD" w:rsidRPr="00F01FAD" w:rsidRDefault="00F01FAD" w:rsidP="00F01FA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F01FAD">
              <w:rPr>
                <w:b w:val="0"/>
                <w:sz w:val="24"/>
                <w:szCs w:val="24"/>
              </w:rPr>
              <w:t>в 2025 г. - 144754,70 тыс. руб.;</w:t>
            </w:r>
          </w:p>
          <w:p w:rsidR="00F01FAD" w:rsidRPr="00F01FAD" w:rsidRDefault="00F01FAD" w:rsidP="00F01FA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F01FAD">
              <w:rPr>
                <w:b w:val="0"/>
                <w:sz w:val="24"/>
                <w:szCs w:val="24"/>
              </w:rPr>
              <w:t>в 2026 г. - 170906,40 тыс. руб.;</w:t>
            </w:r>
          </w:p>
          <w:p w:rsidR="00F01FAD" w:rsidRPr="00F01FAD" w:rsidRDefault="00F01FAD" w:rsidP="00F01FA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F01FAD">
              <w:rPr>
                <w:b w:val="0"/>
                <w:sz w:val="24"/>
                <w:szCs w:val="24"/>
              </w:rPr>
              <w:t>в 2027 г. - 622318,92 тыс. руб.;</w:t>
            </w:r>
          </w:p>
          <w:p w:rsidR="00F01FAD" w:rsidRPr="00F01FAD" w:rsidRDefault="00F01FAD" w:rsidP="00F01FA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F01FAD">
              <w:rPr>
                <w:b w:val="0"/>
                <w:sz w:val="24"/>
                <w:szCs w:val="24"/>
              </w:rPr>
              <w:t>в 2028 г. - 622318,92 тыс. руб.;</w:t>
            </w:r>
          </w:p>
          <w:p w:rsidR="00F01FAD" w:rsidRPr="00F01FAD" w:rsidRDefault="00F01FAD" w:rsidP="00F01FA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F01FAD">
              <w:rPr>
                <w:b w:val="0"/>
                <w:sz w:val="24"/>
                <w:szCs w:val="24"/>
              </w:rPr>
              <w:t>в 2029 г. - 622318,92 тыс. руб.;</w:t>
            </w:r>
          </w:p>
          <w:p w:rsidR="00F01FAD" w:rsidRPr="00F01FAD" w:rsidRDefault="00F01FAD" w:rsidP="00F01FA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F01FAD">
              <w:rPr>
                <w:b w:val="0"/>
                <w:sz w:val="24"/>
                <w:szCs w:val="24"/>
              </w:rPr>
              <w:t>в 2030 г. - 622318,92 тыс. руб.;</w:t>
            </w:r>
          </w:p>
          <w:p w:rsidR="00F01FAD" w:rsidRPr="00F01FAD" w:rsidRDefault="00F01FAD" w:rsidP="00F01FA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F01FAD">
              <w:rPr>
                <w:b w:val="0"/>
                <w:sz w:val="24"/>
                <w:szCs w:val="24"/>
              </w:rPr>
              <w:t>средства федерального бюджета - 4273,9 тыс. руб.;</w:t>
            </w:r>
          </w:p>
          <w:p w:rsidR="00F01FAD" w:rsidRPr="00F01FAD" w:rsidRDefault="00F01FAD" w:rsidP="00F01FA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F01FAD">
              <w:rPr>
                <w:b w:val="0"/>
                <w:sz w:val="24"/>
                <w:szCs w:val="24"/>
              </w:rPr>
              <w:t>средства республиканского бюджета - 3173982,48 тыс. руб.;</w:t>
            </w:r>
          </w:p>
          <w:p w:rsidR="00F01FAD" w:rsidRPr="00F01FAD" w:rsidRDefault="00F01FAD" w:rsidP="00F01FA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F01FAD">
              <w:rPr>
                <w:b w:val="0"/>
                <w:sz w:val="24"/>
                <w:szCs w:val="24"/>
              </w:rPr>
              <w:t>внебюджетные средства - 0,0 тыс. руб.</w:t>
            </w:r>
          </w:p>
        </w:tc>
      </w:tr>
      <w:tr w:rsidR="00F01FAD" w:rsidRPr="00F01FAD" w:rsidTr="00406799">
        <w:tc>
          <w:tcPr>
            <w:tcW w:w="9071" w:type="dxa"/>
            <w:gridSpan w:val="3"/>
          </w:tcPr>
          <w:p w:rsidR="00F01FAD" w:rsidRPr="00F01FAD" w:rsidRDefault="00F01FAD" w:rsidP="00F01FA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F01FAD">
              <w:rPr>
                <w:b w:val="0"/>
                <w:sz w:val="24"/>
                <w:szCs w:val="24"/>
              </w:rPr>
              <w:t xml:space="preserve">(позиция в ред. </w:t>
            </w:r>
            <w:hyperlink r:id="rId7" w:history="1">
              <w:r w:rsidRPr="00F01FAD">
                <w:rPr>
                  <w:b w:val="0"/>
                  <w:sz w:val="24"/>
                  <w:szCs w:val="24"/>
                </w:rPr>
                <w:t>Постановления</w:t>
              </w:r>
            </w:hyperlink>
            <w:r w:rsidRPr="00F01FAD">
              <w:rPr>
                <w:b w:val="0"/>
                <w:sz w:val="24"/>
                <w:szCs w:val="24"/>
              </w:rPr>
              <w:t xml:space="preserve"> Правительства РТ от 10.07.2024 N 349)</w:t>
            </w:r>
          </w:p>
        </w:tc>
      </w:tr>
      <w:tr w:rsidR="00F01FAD" w:rsidRPr="00F01FAD" w:rsidTr="00406799">
        <w:tc>
          <w:tcPr>
            <w:tcW w:w="3118" w:type="dxa"/>
          </w:tcPr>
          <w:p w:rsidR="00F01FAD" w:rsidRPr="00F01FAD" w:rsidRDefault="00F01FAD" w:rsidP="00F01FA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F01FAD">
              <w:rPr>
                <w:b w:val="0"/>
                <w:sz w:val="24"/>
                <w:szCs w:val="24"/>
              </w:rPr>
              <w:t>Связь с национальными целями развития Российской Федерации/ государственной программой Российской Федерации/ государственной программой</w:t>
            </w:r>
          </w:p>
        </w:tc>
        <w:tc>
          <w:tcPr>
            <w:tcW w:w="340" w:type="dxa"/>
          </w:tcPr>
          <w:p w:rsidR="00F01FAD" w:rsidRPr="00F01FAD" w:rsidRDefault="00F01FAD" w:rsidP="00F01FA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5613" w:type="dxa"/>
          </w:tcPr>
          <w:p w:rsidR="00F01FAD" w:rsidRPr="00F01FAD" w:rsidRDefault="00F01FAD" w:rsidP="00F01FA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F01FAD">
              <w:rPr>
                <w:b w:val="0"/>
                <w:sz w:val="24"/>
                <w:szCs w:val="24"/>
              </w:rPr>
              <w:t xml:space="preserve">национальная цель "цифровая трансформация", утвержденная </w:t>
            </w:r>
            <w:hyperlink r:id="rId8" w:history="1">
              <w:r w:rsidRPr="00F01FAD">
                <w:rPr>
                  <w:b w:val="0"/>
                  <w:sz w:val="24"/>
                  <w:szCs w:val="24"/>
                </w:rPr>
                <w:t>Указом</w:t>
              </w:r>
            </w:hyperlink>
            <w:r w:rsidRPr="00F01FAD">
              <w:rPr>
                <w:b w:val="0"/>
                <w:sz w:val="24"/>
                <w:szCs w:val="24"/>
              </w:rPr>
              <w:t xml:space="preserve"> Президента Российской Федерации от 21 июля 2020 г. N 474 "О национальных целях развития Российской Федерации на период до 2030 года";</w:t>
            </w:r>
          </w:p>
          <w:p w:rsidR="00F01FAD" w:rsidRPr="00F01FAD" w:rsidRDefault="00F01FAD" w:rsidP="00F01FA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F01FAD">
              <w:rPr>
                <w:b w:val="0"/>
                <w:sz w:val="24"/>
                <w:szCs w:val="24"/>
              </w:rPr>
              <w:t xml:space="preserve">национальная </w:t>
            </w:r>
            <w:hyperlink r:id="rId9" w:history="1">
              <w:r w:rsidRPr="00F01FAD">
                <w:rPr>
                  <w:b w:val="0"/>
                  <w:sz w:val="24"/>
                  <w:szCs w:val="24"/>
                </w:rPr>
                <w:t>программа</w:t>
              </w:r>
            </w:hyperlink>
            <w:r w:rsidRPr="00F01FAD">
              <w:rPr>
                <w:b w:val="0"/>
                <w:sz w:val="24"/>
                <w:szCs w:val="24"/>
              </w:rPr>
              <w:t xml:space="preserve"> "Цифровая экономика Российской Федерации", утвержденная протоколом заседания президиума Совета при Президенте Российской Федерации по стратегическому развитию и национальным проектам от 4 июня 2019 г. N 7.</w:t>
            </w:r>
          </w:p>
        </w:tc>
      </w:tr>
    </w:tbl>
    <w:p w:rsidR="00BD1621" w:rsidRPr="00F01FAD" w:rsidRDefault="00BD1621" w:rsidP="00F01FAD">
      <w:pPr>
        <w:pStyle w:val="ConsPlusTitle"/>
        <w:jc w:val="center"/>
        <w:outlineLvl w:val="1"/>
        <w:rPr>
          <w:sz w:val="24"/>
          <w:szCs w:val="24"/>
        </w:rPr>
      </w:pPr>
    </w:p>
    <w:sectPr w:rsidR="00BD1621" w:rsidRPr="00F01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FAD"/>
    <w:rsid w:val="00BD1621"/>
    <w:rsid w:val="00F0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F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1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F01F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F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1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F01F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7927&amp;dst=1000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434&amp;n=42867&amp;dst=1000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34&amp;n=42867&amp;dst=10001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434&amp;n=42867&amp;dst=10001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288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Анчымаа Долаана Тимуровна</dc:creator>
  <cp:lastModifiedBy>Анчымаа Долаана Тимуровна</cp:lastModifiedBy>
  <cp:revision>1</cp:revision>
  <dcterms:created xsi:type="dcterms:W3CDTF">2024-10-13T05:21:00Z</dcterms:created>
  <dcterms:modified xsi:type="dcterms:W3CDTF">2024-10-13T05:22:00Z</dcterms:modified>
</cp:coreProperties>
</file>