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8A" w:rsidRDefault="001E558A" w:rsidP="001E558A">
      <w:pPr>
        <w:pStyle w:val="ConsPlusNormal"/>
        <w:jc w:val="right"/>
        <w:outlineLvl w:val="0"/>
      </w:pPr>
      <w:r>
        <w:t>Приложение 6</w:t>
      </w:r>
    </w:p>
    <w:p w:rsidR="001E558A" w:rsidRDefault="001E558A" w:rsidP="001E558A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1E558A" w:rsidRDefault="001E558A" w:rsidP="001E558A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1E558A" w:rsidRDefault="001E558A" w:rsidP="001E558A">
      <w:pPr>
        <w:pStyle w:val="ConsPlusNormal"/>
        <w:jc w:val="right"/>
      </w:pPr>
      <w:r>
        <w:t>и на плановый период 2023 и 2024 годов"</w:t>
      </w:r>
    </w:p>
    <w:p w:rsidR="001E558A" w:rsidRDefault="001E558A" w:rsidP="001E558A">
      <w:pPr>
        <w:pStyle w:val="ConsPlusNormal"/>
        <w:jc w:val="both"/>
      </w:pPr>
    </w:p>
    <w:p w:rsidR="001E558A" w:rsidRDefault="001E558A" w:rsidP="001E558A">
      <w:pPr>
        <w:pStyle w:val="ConsPlusTitle"/>
        <w:jc w:val="center"/>
      </w:pPr>
      <w:bookmarkStart w:id="0" w:name="P1762"/>
      <w:bookmarkEnd w:id="0"/>
      <w:r>
        <w:t>ПОСТУПЛЕНИЯ ДОХОДОВ В РЕСПУБЛИКАНСКИЙ БЮДЖЕТ</w:t>
      </w:r>
    </w:p>
    <w:p w:rsidR="001E558A" w:rsidRDefault="001E558A" w:rsidP="001E558A">
      <w:pPr>
        <w:pStyle w:val="ConsPlusTitle"/>
        <w:jc w:val="center"/>
      </w:pPr>
      <w:r>
        <w:t>РЕСПУБЛИКИ ТЫВА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1E558A" w:rsidRDefault="001E558A" w:rsidP="001E55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E558A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58A" w:rsidRDefault="001E558A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58A" w:rsidRDefault="001E558A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58A" w:rsidRDefault="001E558A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58A" w:rsidRDefault="001E558A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28.11.2022 N 871-ЗРТ)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58A" w:rsidRDefault="001E558A" w:rsidP="00F47EDC">
            <w:pPr>
              <w:pStyle w:val="ConsPlusNormal"/>
            </w:pPr>
          </w:p>
        </w:tc>
      </w:tr>
    </w:tbl>
    <w:p w:rsidR="001E558A" w:rsidRDefault="001E558A" w:rsidP="001E558A">
      <w:pPr>
        <w:pStyle w:val="ConsPlusNormal"/>
        <w:jc w:val="both"/>
      </w:pPr>
    </w:p>
    <w:p w:rsidR="001E558A" w:rsidRDefault="001E558A" w:rsidP="001E558A">
      <w:pPr>
        <w:pStyle w:val="ConsPlusNormal"/>
        <w:jc w:val="right"/>
      </w:pPr>
      <w:r>
        <w:t>(тыс. рублей)</w:t>
      </w:r>
    </w:p>
    <w:p w:rsidR="001E558A" w:rsidRDefault="001E558A" w:rsidP="001E558A">
      <w:pPr>
        <w:pStyle w:val="ConsPlusNormal"/>
        <w:spacing w:after="1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1474"/>
        <w:gridCol w:w="1474"/>
      </w:tblGrid>
      <w:tr w:rsidR="001E558A" w:rsidTr="001E558A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Коды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1E558A" w:rsidTr="001E558A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558A" w:rsidRDefault="001E558A" w:rsidP="00F47EDC">
            <w:pPr>
              <w:pStyle w:val="ConsPlusNormal"/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558A" w:rsidRDefault="001E558A" w:rsidP="00F47ED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сумма с учетом изменений на 2023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сумма с учетом изменений на 2024 год</w:t>
            </w:r>
          </w:p>
        </w:tc>
      </w:tr>
      <w:tr w:rsidR="001E558A" w:rsidTr="001E558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A" w:rsidRDefault="001E558A" w:rsidP="00F47EDC">
            <w:pPr>
              <w:pStyle w:val="ConsPlusNormal"/>
              <w:jc w:val="center"/>
            </w:pPr>
            <w:r>
              <w:t>4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1"/>
            </w:pPr>
            <w:r>
              <w:t>НАЛОГОВЫЕ И НЕНАЛОГОВЫЕ ДОХОДЫ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8052102,0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8628548,0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5586830,0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6031461,0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1 01 01000 00 0000 110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1386042,0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1455344,0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4200788,0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4576117,0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1417232,0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1487314,0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1 03 02142 01 0000 110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</w:t>
            </w:r>
            <w:proofErr w:type="gramEnd"/>
            <w:r>
              <w:t xml:space="preserve"> </w:t>
            </w:r>
            <w:proofErr w:type="gramStart"/>
            <w:r>
              <w:t>порядке</w:t>
            </w:r>
            <w:proofErr w:type="gramEnd"/>
            <w:r>
              <w:t>, установленном Министерством финансов Российской Федерации)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74017,0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78192,0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1 03 02143 01 0000 110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</w:t>
            </w:r>
            <w:r>
              <w:lastRenderedPageBreak/>
              <w:t>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</w:t>
            </w:r>
            <w:proofErr w:type="gramEnd"/>
            <w:r>
              <w:t xml:space="preserve"> нормативам, установленным Федеральным законом о федеральном бюджете в целях </w:t>
            </w:r>
            <w:proofErr w:type="gramStart"/>
            <w:r>
              <w:t>компенсации снижения доходов бюджетов субъектов Российской Федерации</w:t>
            </w:r>
            <w:proofErr w:type="gramEnd"/>
            <w:r>
              <w:t xml:space="preserve">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21054,0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22241,0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1 03 02190 01 0000 110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 xml:space="preserve">Доходы от уплаты акцизов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>
              <w:t>кальвадосного</w:t>
            </w:r>
            <w:proofErr w:type="spellEnd"/>
            <w:r>
              <w:t xml:space="preserve">, </w:t>
            </w:r>
            <w:proofErr w:type="spellStart"/>
            <w:r>
              <w:t>вискового</w:t>
            </w:r>
            <w:proofErr w:type="spellEnd"/>
            <w:r>
              <w:t>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459,0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103 02200 01 0000 110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 xml:space="preserve">Доходы от уплаты акцизов на этиловый спирт из пищевого сырья (дистилляты винный, виноградный, плодовый, коньячный, </w:t>
            </w:r>
            <w:proofErr w:type="spellStart"/>
            <w:r>
              <w:t>кальвадосный</w:t>
            </w:r>
            <w:proofErr w:type="spellEnd"/>
            <w:r>
              <w:t xml:space="preserve">, </w:t>
            </w:r>
            <w:proofErr w:type="spellStart"/>
            <w:r>
              <w:t>висковый</w:t>
            </w:r>
            <w:proofErr w:type="spellEnd"/>
            <w:r>
              <w:t>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1 03 02210 01 0000 110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в бюджеты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37,0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1 03 02220 01 0000 110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 xml:space="preserve">Доходы от уплаты акцизов на этиловый спирт из непищевого сырья, производимый на территории Российской Федерации, направляемые в </w:t>
            </w:r>
            <w:r>
              <w:lastRenderedPageBreak/>
              <w:t>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295,0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417985,0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435636,0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1 03 02232 01 0000 110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6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и качественные автомобильные дороги")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173210,0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174641,0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2341,0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2517,0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1 03 02242 01 0000 110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lastRenderedPageBreak/>
              <w:t xml:space="preserve">Федеральным законом о федеральном бюджете в целях реализации национального </w:t>
            </w:r>
            <w:hyperlink r:id="rId7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и качественные автомобильные дороги")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970,0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1009,0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513933,0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551282,0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1 03 02252 01 0000 110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hyperlink r:id="rId8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и качественные автомобильные дороги")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212970,0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221002,0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НАЛОГИ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2730,0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2867,0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1 05 06000 01 1000 110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Налог на профессиональный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2730,0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2867,0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НАЛОГИ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535565,0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553134,0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1 06 02000 02 0000 110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346416,0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357942,0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1 06 04000 02 0000 110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189149,0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195192,0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273715,0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315566,0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1 07 01000 01 0000 110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271190,0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313016,0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1 07 04000 01 0000 110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2525,0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2550,0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31286,0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31557,0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5620,0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5620,0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1 11 01000 00 0000 120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Доходы в виде прибыли, приходящейся на </w:t>
            </w:r>
            <w:r>
              <w:lastRenderedPageBreak/>
              <w:t>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300,0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5262,0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5262,0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1 11 07000 00 0000 120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58,0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1"/>
            </w:pPr>
            <w:r>
              <w:t>ПЛАТЕЖИ ПРИ ПОЛЬЗОВАНИИ ПРИРОДНЫМИ РЕСУРСАМИ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40595,0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41525,0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29835,0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30730,0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1 12 02000 00 0000 120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Платежи при пользовании недрами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2595,0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2595,0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1 12 04000 00 0000 120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8165,0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8200,0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23053,0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23729,0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115 00000 00 0000 000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1"/>
            </w:pPr>
            <w:r>
              <w:t>АДМИНИСТРАТИВНЫЕ ПЛАТЕЖИ И СБОРЫ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134626,0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134875,0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outlineLvl w:val="2"/>
            </w:pPr>
            <w: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43249222,3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37962256,5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43249222,3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37962256,5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18046377,9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19293911,8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2 02 15001 02 0000 150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18046377,9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19293911,8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2 02 15009 02 0000 150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бюджетной системы </w:t>
            </w:r>
            <w:r>
              <w:lastRenderedPageBreak/>
              <w:t>Российской Федерации (межбюджетные субсидии)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17094565,5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15769987,9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2 02 25007 02 0000 150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567742,8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586868,6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2 02 25021 02 0000 150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446797,2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514701,0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4665,0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4665,0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251019,7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9900,0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3031,4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3522,5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263014,9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263014,9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995607,4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1051418,8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9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108,9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23367,4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26400,6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2 02 25114 02 0000 150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22599,6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24883,6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2 02 25117 02 0000 150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34052,2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152025,5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53460,0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53460,0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2 02 25139 02 0000 150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229300,8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96267,4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37267,7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2 02 25173 02 0000 150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21143,5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62693,3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2 02 25177 02 0000 150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22066,0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2 02 25189 02 0000 150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195173,4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2 02 25190 02 0000 150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12055,2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2 02 25192 02 0000 150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38714,8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7247,8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7247,8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11522,4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11522,4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2 02 25210 02 0000 150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58877,3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6512,3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9256,3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10796,9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2 02 25230 02 0000 150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226386,4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967373,9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378119,9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2 02 25253 02 0000 150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6108,3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2 02 25256 02 0000 150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7920,0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12870,0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2 02 25273 02 0000 150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бюджету Республики Тыва на компенсацию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522391,9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2 02 25281 02 0000 150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2630,5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2922,8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2 02 25291 02 0000 150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5445,0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5445,0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2 02 25299 02 0000 150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0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542,3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481,9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2 02 25302 02 0000 150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</w:t>
            </w:r>
            <w:proofErr w:type="gramStart"/>
            <w:r>
              <w:t>на осуществление ежемесячных выплат 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3524258,9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3797199,6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2 02 25304 02 0000 150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381948,2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392674,8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2 02 25305 02 0000 150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1452854,1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1399009,5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2 02 25321 02 0000 150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реализацию мероприятий индивидуальных программ социально-экономического развития Республики Алтай, Республики Карелия и Республики Тыва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1000000,0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2 02 25341 02 0000 150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13360,0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6930,0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2 02 25359 02 0000 150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49643,2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10479,0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2 02 25365 02 0000 150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323876,6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323876,6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2 02 25394 02 0000 150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11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387087,9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566264,8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320,0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2 02 25404 02 0000 150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r>
              <w:lastRenderedPageBreak/>
              <w:t>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588285,5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588285,5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2 02 25456 02 0000 150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модернизации театров юного зрителя и театров кукол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210000,0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225,2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13616,3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13878,8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5982,5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5982,5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2 02 25480 02 0000 150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70264,0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92168,0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2 02 25490 02 0000 150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2063020,0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2 02 25491 02 0000 150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5640,8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72531,6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155800,9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177553,1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2 02 25502 02 0000 150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71828,7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68805,2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2 02 25508 02 0000 150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114853,7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110441,9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2 02 25513 02 0000 150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119708,2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139639,2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2 02 25515 02 0000 150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1809,9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1823,4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8926,9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10476,1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63588,3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116387,9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2 02 25520 02 0000 150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создание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234698,8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367212,8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837930,8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135235,3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188100,0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188100,0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86681,5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96312,8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2 02 25576 02 0000 150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57148,2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66433,7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2 02 25586 02 0000 150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18407,8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18407,8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2 02 25589 02 0000 150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3318,1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3318,1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2 02 25599 02 0000 150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72187,5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71524,3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2 02 25753 02 0000 150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закупки оборудования для создания "умных" спортивных площадок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60000,0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2 02 27121 02 0000 150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Субсидии бюджетам субъектов Российской Федерации на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578633,7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1006317,6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2 02 27246 02 0000 150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1300000,0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2163140,5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2245788,8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22390,5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23214,8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694,7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309,2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осуществление </w:t>
            </w:r>
            <w:r>
              <w:lastRenderedPageBreak/>
              <w:t>отдельных полномочий в области водных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9989,9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9963,5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2 02 35129 02 0000 150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164240,0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168312,6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2 02 35134 02 0000 150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3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2063,9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2156,8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8908,9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8623,0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88514,8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97975,7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6684,7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6952,2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29,7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оплату </w:t>
            </w:r>
            <w:r>
              <w:lastRenderedPageBreak/>
              <w:t>жилищно-коммунальных услуг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128189,1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128189,1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2 02 35290 02 0000 150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социальные выплаты безработным гражданам в соответствии с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417655,8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417655,8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2 02 35345 02 0000 150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277524,6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277524,6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46706,6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46559,1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6998,6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20626,7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156874,1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162384,2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763282,8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810969,6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62392,6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64342,2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5945138,4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652568,0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реализацию отдельных полномочий в области </w:t>
            </w:r>
            <w:r>
              <w:lastRenderedPageBreak/>
              <w:t>лекарственного обеспечения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53307,0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53307,0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2 02 45190 02 0000 150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13581,1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25551,3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</w:t>
            </w:r>
            <w:proofErr w:type="gramEnd"/>
            <w:r>
              <w:t xml:space="preserve">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 трансплантации органов и (или) тканей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617,2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2 02 45303 02 0000 150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542814,9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545090,6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2 02 45321 02 0000 150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индивидуальных программ социально-экономического развития Республики Алтай, Республики Карелия и Республики Тыва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2 02 45358 02 0000 150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 xml:space="preserve">Межбюджетные трансферты, передаваемые бюджетам субъектов </w:t>
            </w:r>
            <w:r>
              <w:lastRenderedPageBreak/>
              <w:t>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573,7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lastRenderedPageBreak/>
              <w:t>2 02 45363 02 0000 150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proofErr w:type="gramStart"/>
            <w: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56168,1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54149,5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20,9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2 02 45479 02 0000 150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64343,4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2 02 45581 02 0000 150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Межбюджетный трансферт, передаваемый бюджету Республики Тыва на реализацию инвестиционных проектов в сфере добычи и переработки цветных металлов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4000000,0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2 02 45784 02 0000 150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188162,9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1E558A" w:rsidTr="001E55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</w:pPr>
            <w: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51301324,3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58A" w:rsidRDefault="001E558A" w:rsidP="00F47EDC">
            <w:pPr>
              <w:pStyle w:val="ConsPlusNormal"/>
              <w:jc w:val="center"/>
            </w:pPr>
            <w:r>
              <w:t>46590804,5</w:t>
            </w:r>
          </w:p>
        </w:tc>
      </w:tr>
    </w:tbl>
    <w:p w:rsidR="001E558A" w:rsidRDefault="001E558A" w:rsidP="001E558A">
      <w:pPr>
        <w:pStyle w:val="ConsPlusNormal"/>
        <w:jc w:val="both"/>
      </w:pPr>
      <w:bookmarkStart w:id="1" w:name="_GoBack"/>
      <w:bookmarkEnd w:id="1"/>
    </w:p>
    <w:sectPr w:rsidR="001E558A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E4"/>
    <w:rsid w:val="001E558A"/>
    <w:rsid w:val="00815128"/>
    <w:rsid w:val="00DA56E4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D18CF880B48D9C0AF4E06B3A3D787C69328EDAB960D895FBC060849AB0BB924529A8E34DD723E5792CF5B6En2h7C" TargetMode="External"/><Relationship Id="rId13" Type="http://schemas.openxmlformats.org/officeDocument/2006/relationships/hyperlink" Target="consultantplus://offline/ref=FC2D18CF880B48D9C0AF4E06B3A3D787CC9728E9A898508357E50A0A4EA454BC3143C28337C06C36418ECD59n6hF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2D18CF880B48D9C0AF4E06B3A3D787C69328EDAB960D895FBC060849AB0BB924529A8E34DD723E5792CF5B6En2h7C" TargetMode="External"/><Relationship Id="rId12" Type="http://schemas.openxmlformats.org/officeDocument/2006/relationships/hyperlink" Target="consultantplus://offline/ref=FC2D18CF880B48D9C0AF4E06B3A3D787C19627EEAD960D895FBC060849AB0BB924529A8E34DD723E5792CF5B6En2h7C" TargetMode="External"/><Relationship Id="rId17" Type="http://schemas.openxmlformats.org/officeDocument/2006/relationships/hyperlink" Target="consultantplus://offline/ref=FC2D18CF880B48D9C0AF4E06B3A3D787C19023EEA89B0D895FBC060849AB0BB924529A8E34DD723E5792CF5B6En2h7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2D18CF880B48D9C0AF4E06B3A3D787C69A28EFAB970D895FBC060849AB0BB924529A8E34DD723E5792CF5B6En2h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D18CF880B48D9C0AF4E06B3A3D787C69328EDAB960D895FBC060849AB0BB924529A8E34DD723E5792CF5B6En2h7C" TargetMode="External"/><Relationship Id="rId11" Type="http://schemas.openxmlformats.org/officeDocument/2006/relationships/hyperlink" Target="consultantplus://offline/ref=FC2D18CF880B48D9C0AF4E06B3A3D787C69328EDAB960D895FBC060849AB0BB924529A8E34DD723E5792CF5B6En2h7C" TargetMode="External"/><Relationship Id="rId5" Type="http://schemas.openxmlformats.org/officeDocument/2006/relationships/hyperlink" Target="consultantplus://offline/ref=FC2D18CF880B48D9C0AF500BA5CF8D89C1997FE3A89B02DA01E35D551EA201EE711D9BC070D36D3E5F8BCC5B67705BCDD51304343A91B506A4F646n3hEC" TargetMode="External"/><Relationship Id="rId15" Type="http://schemas.openxmlformats.org/officeDocument/2006/relationships/hyperlink" Target="consultantplus://offline/ref=FC2D18CF880B48D9C0AF4E06B3A3D787C19124E6A3950D895FBC060849AB0BB924529A8E34DD723E5792CF5B6En2h7C" TargetMode="External"/><Relationship Id="rId10" Type="http://schemas.openxmlformats.org/officeDocument/2006/relationships/hyperlink" Target="consultantplus://offline/ref=FC2D18CF880B48D9C0AF4E06B3A3D787C19625EBAA910D895FBC060849AB0BB93652C28234DE6C3E5687990A287107898300043F3A93BD1AnAh5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2D18CF880B48D9C0AF4E06B3A3D787C19025EDAA920D895FBC060849AB0BB93652C2813F8A3D7A0A81CD5872240297821E06n3h4C" TargetMode="External"/><Relationship Id="rId14" Type="http://schemas.openxmlformats.org/officeDocument/2006/relationships/hyperlink" Target="consultantplus://offline/ref=FC2D18CF880B48D9C0AF4E06B3A3D787C19627EEAD960D895FBC060849AB0BB924529A8E34DD723E5792CF5B6En2h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5090</Words>
  <Characters>29018</Characters>
  <Application>Microsoft Office Word</Application>
  <DocSecurity>0</DocSecurity>
  <Lines>241</Lines>
  <Paragraphs>68</Paragraphs>
  <ScaleCrop>false</ScaleCrop>
  <Company/>
  <LinksUpToDate>false</LinksUpToDate>
  <CharactersWithSpaces>34040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2023-08-03T10:09:00Z</dcterms:created>
  <dcterms:modified xsi:type="dcterms:W3CDTF">2023-08-03T10:10:00Z</dcterms:modified>
</cp:coreProperties>
</file>