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BF" w:rsidRPr="00894EBF" w:rsidRDefault="00894EBF" w:rsidP="00C75424">
      <w:pPr>
        <w:pStyle w:val="ConsPlusTitle"/>
        <w:jc w:val="center"/>
        <w:outlineLvl w:val="1"/>
        <w:rPr>
          <w:sz w:val="24"/>
          <w:szCs w:val="24"/>
        </w:rPr>
      </w:pPr>
      <w:bookmarkStart w:id="0" w:name="_GoBack"/>
      <w:bookmarkEnd w:id="0"/>
      <w:r w:rsidRPr="00894EBF">
        <w:rPr>
          <w:sz w:val="24"/>
          <w:szCs w:val="24"/>
        </w:rPr>
        <w:t>ПАСПОРТ</w:t>
      </w:r>
    </w:p>
    <w:p w:rsidR="00894EBF" w:rsidRPr="00894EBF" w:rsidRDefault="00894EBF" w:rsidP="00894EBF">
      <w:pPr>
        <w:pStyle w:val="ConsPlusTitle"/>
        <w:jc w:val="center"/>
        <w:rPr>
          <w:sz w:val="24"/>
          <w:szCs w:val="24"/>
        </w:rPr>
      </w:pPr>
      <w:r w:rsidRPr="00894EBF">
        <w:rPr>
          <w:sz w:val="24"/>
          <w:szCs w:val="24"/>
        </w:rPr>
        <w:t>государственной программы Республики Тыва "Социальная</w:t>
      </w:r>
    </w:p>
    <w:p w:rsidR="00894EBF" w:rsidRPr="00894EBF" w:rsidRDefault="00894EBF" w:rsidP="00894EBF">
      <w:pPr>
        <w:pStyle w:val="ConsPlusTitle"/>
        <w:jc w:val="center"/>
        <w:rPr>
          <w:sz w:val="24"/>
          <w:szCs w:val="24"/>
        </w:rPr>
      </w:pPr>
      <w:r w:rsidRPr="00894EBF">
        <w:rPr>
          <w:sz w:val="24"/>
          <w:szCs w:val="24"/>
        </w:rPr>
        <w:t>поддержка граждан в Республике Тыва на 2021 - 2023 годы"</w:t>
      </w:r>
    </w:p>
    <w:p w:rsidR="00894EBF" w:rsidRPr="00894EBF" w:rsidRDefault="00894EBF" w:rsidP="00894EBF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894EBF" w:rsidRPr="00894EB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94EBF" w:rsidRPr="00894EBF" w:rsidRDefault="00894EBF" w:rsidP="00894EBF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государственная программа Республики Тыва "Социальная поддержка граждан в Республике Тыва на 2021 - 2023 годы" (далее - Программа)</w:t>
            </w:r>
          </w:p>
        </w:tc>
      </w:tr>
      <w:tr w:rsidR="00894EBF" w:rsidRPr="00894EB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Государственный заказчик - координатор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94EBF" w:rsidRPr="00894EBF" w:rsidRDefault="00894EBF" w:rsidP="00894EBF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894EBF" w:rsidRPr="00894EB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Ответственные исполнители государственной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94EBF" w:rsidRPr="00894EBF" w:rsidRDefault="00894EBF" w:rsidP="00894EBF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 xml:space="preserve">Министерство труда и социальной политики Республики Тыва, организации социального обслуживания населения Республики Тыва, центры социальной помощи семье и детям Республики Тыва, органы социальной защиты населения </w:t>
            </w:r>
            <w:proofErr w:type="spellStart"/>
            <w:r w:rsidRPr="00894EBF">
              <w:rPr>
                <w:sz w:val="24"/>
                <w:szCs w:val="24"/>
              </w:rPr>
              <w:t>кожуунов</w:t>
            </w:r>
            <w:proofErr w:type="spellEnd"/>
            <w:r w:rsidRPr="00894EBF">
              <w:rPr>
                <w:sz w:val="24"/>
                <w:szCs w:val="24"/>
              </w:rPr>
              <w:t xml:space="preserve"> и гг. Кызыла и Ак-Довурака (по согласованию)</w:t>
            </w:r>
          </w:p>
        </w:tc>
      </w:tr>
      <w:tr w:rsidR="00894EBF" w:rsidRPr="00894EB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94EBF" w:rsidRPr="00894EBF" w:rsidRDefault="00894EBF" w:rsidP="00894EBF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894EBF">
              <w:rPr>
                <w:sz w:val="24"/>
                <w:szCs w:val="24"/>
              </w:rPr>
              <w:t>Министерство образования и науки Республики Тыва, Министерство культуры Республики Тыва, Министерство спорта Республики Тыва, Министерство здравоохранения Республики Тыва, Министерство информатизации и связи Республики Тыва, Министерство строительства и жилищно-коммунального хозяйства Республики Тыва, Государственное казенное учреждение Республики Тыва "</w:t>
            </w:r>
            <w:proofErr w:type="spellStart"/>
            <w:r w:rsidRPr="00894EBF">
              <w:rPr>
                <w:sz w:val="24"/>
                <w:szCs w:val="24"/>
              </w:rPr>
              <w:t>Госстройзаказ</w:t>
            </w:r>
            <w:proofErr w:type="spellEnd"/>
            <w:r w:rsidRPr="00894EBF">
              <w:rPr>
                <w:sz w:val="24"/>
                <w:szCs w:val="24"/>
              </w:rPr>
              <w:t>", Министерство внутренних дел по Республике Тыва (по согласованию), Управление Федеральной службы исполнения наказаний по Республике Тыва (по согласованию), органы местного самоуправления (по согласованию)</w:t>
            </w:r>
            <w:proofErr w:type="gramEnd"/>
          </w:p>
        </w:tc>
      </w:tr>
      <w:tr w:rsidR="00894EBF" w:rsidRPr="00894EB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94EBF" w:rsidRPr="00894EBF" w:rsidRDefault="00894EBF" w:rsidP="00894EBF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социально ориентированные некоммерческие организации, действующие на территории Республики Тыва (по согласованию)</w:t>
            </w:r>
          </w:p>
        </w:tc>
      </w:tr>
      <w:tr w:rsidR="00894EBF" w:rsidRPr="00894EB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94EBF" w:rsidRPr="00894EBF" w:rsidRDefault="00894EBF" w:rsidP="00894EBF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94EBF" w:rsidRPr="00894EBF" w:rsidRDefault="00C75424" w:rsidP="00894EBF">
            <w:pPr>
              <w:pStyle w:val="ConsPlusNormal"/>
              <w:rPr>
                <w:sz w:val="24"/>
                <w:szCs w:val="24"/>
              </w:rPr>
            </w:pPr>
            <w:hyperlink r:id="rId5" w:history="1">
              <w:r w:rsidR="00894EBF" w:rsidRPr="00894EBF">
                <w:rPr>
                  <w:color w:val="0000FF"/>
                  <w:sz w:val="24"/>
                  <w:szCs w:val="24"/>
                </w:rPr>
                <w:t>подпрограмма 1</w:t>
              </w:r>
            </w:hyperlink>
            <w:r w:rsidR="00894EBF" w:rsidRPr="00894EBF">
              <w:rPr>
                <w:sz w:val="24"/>
                <w:szCs w:val="24"/>
              </w:rPr>
              <w:t xml:space="preserve"> "Предоставление мер социальной поддержки отдельным категориям граждан в Республике Тыва на 2021 - 2023 годы";</w:t>
            </w:r>
          </w:p>
          <w:p w:rsidR="00894EBF" w:rsidRPr="00894EBF" w:rsidRDefault="00C75424" w:rsidP="00894EBF">
            <w:pPr>
              <w:pStyle w:val="ConsPlusNormal"/>
              <w:rPr>
                <w:sz w:val="24"/>
                <w:szCs w:val="24"/>
              </w:rPr>
            </w:pPr>
            <w:hyperlink r:id="rId6" w:history="1">
              <w:r w:rsidR="00894EBF" w:rsidRPr="00894EBF">
                <w:rPr>
                  <w:color w:val="0000FF"/>
                  <w:sz w:val="24"/>
                  <w:szCs w:val="24"/>
                </w:rPr>
                <w:t>подпрограмма 2</w:t>
              </w:r>
            </w:hyperlink>
            <w:r w:rsidR="00894EBF" w:rsidRPr="00894EBF">
              <w:rPr>
                <w:sz w:val="24"/>
                <w:szCs w:val="24"/>
              </w:rPr>
              <w:t xml:space="preserve"> "Социальная поддержка и обслуживание граждан пожилого возраста и инвалидов в Республике Тыва на 2021 - 2023 годы";</w:t>
            </w:r>
          </w:p>
          <w:p w:rsidR="00894EBF" w:rsidRPr="00894EBF" w:rsidRDefault="00C75424" w:rsidP="00894EBF">
            <w:pPr>
              <w:pStyle w:val="ConsPlusNormal"/>
              <w:rPr>
                <w:sz w:val="24"/>
                <w:szCs w:val="24"/>
              </w:rPr>
            </w:pPr>
            <w:hyperlink r:id="rId7" w:history="1">
              <w:r w:rsidR="00894EBF" w:rsidRPr="00894EBF">
                <w:rPr>
                  <w:color w:val="0000FF"/>
                  <w:sz w:val="24"/>
                  <w:szCs w:val="24"/>
                </w:rPr>
                <w:t>подпрограмма 3</w:t>
              </w:r>
            </w:hyperlink>
            <w:r w:rsidR="00894EBF" w:rsidRPr="00894EBF">
              <w:rPr>
                <w:sz w:val="24"/>
                <w:szCs w:val="24"/>
              </w:rPr>
              <w:t xml:space="preserve"> "Социальная реабилитация лиц, освободившихся из мест лишения свободы, и лиц, осужденных без изоляции от общества, на 2021 - 2023 годы";</w:t>
            </w:r>
          </w:p>
          <w:p w:rsidR="00894EBF" w:rsidRPr="00894EBF" w:rsidRDefault="00C75424" w:rsidP="00894EBF">
            <w:pPr>
              <w:pStyle w:val="ConsPlusNormal"/>
              <w:rPr>
                <w:sz w:val="24"/>
                <w:szCs w:val="24"/>
              </w:rPr>
            </w:pPr>
            <w:hyperlink r:id="rId8" w:history="1">
              <w:r w:rsidR="00894EBF" w:rsidRPr="00894EBF">
                <w:rPr>
                  <w:color w:val="0000FF"/>
                  <w:sz w:val="24"/>
                  <w:szCs w:val="24"/>
                </w:rPr>
                <w:t>подпрограмма 4</w:t>
              </w:r>
            </w:hyperlink>
            <w:r w:rsidR="00894EBF" w:rsidRPr="00894EBF">
              <w:rPr>
                <w:sz w:val="24"/>
                <w:szCs w:val="24"/>
              </w:rPr>
              <w:t xml:space="preserve"> "Поддержка социально ориентированных некоммерческих организаций в Республике Тыва на 2021 - 2023 годы";</w:t>
            </w:r>
          </w:p>
          <w:p w:rsidR="00894EBF" w:rsidRPr="00894EBF" w:rsidRDefault="00C75424" w:rsidP="00894EBF">
            <w:pPr>
              <w:pStyle w:val="ConsPlusNormal"/>
              <w:rPr>
                <w:sz w:val="24"/>
                <w:szCs w:val="24"/>
              </w:rPr>
            </w:pPr>
            <w:hyperlink r:id="rId9" w:history="1">
              <w:r w:rsidR="00894EBF" w:rsidRPr="00894EBF">
                <w:rPr>
                  <w:color w:val="0000FF"/>
                  <w:sz w:val="24"/>
                  <w:szCs w:val="24"/>
                </w:rPr>
                <w:t>подпрограмма 5</w:t>
              </w:r>
            </w:hyperlink>
            <w:r w:rsidR="00894EBF" w:rsidRPr="00894EBF">
              <w:rPr>
                <w:sz w:val="24"/>
                <w:szCs w:val="24"/>
              </w:rPr>
              <w:t xml:space="preserve"> "Социальная защита семьи и детей в Республике Тыва на 2021 - 2023 годы"</w:t>
            </w:r>
          </w:p>
        </w:tc>
      </w:tr>
      <w:tr w:rsidR="00894EBF" w:rsidRPr="00894EB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94EBF" w:rsidRPr="00894EBF" w:rsidRDefault="00894EBF" w:rsidP="00894EBF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 (далее - МГН) в Республике Тыва;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повышение уровня и качества жизни пожилых граждан, инвалидов, отдельных категорий населения, в отношении которых законодательно установлены обязательства государства по предоставлению мер социальной поддержки;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формирование организационных, правовых, социально-экономических условий для осуществления мер по улучшению положения и качества жизни пожилых людей, повышению степени их социальной защищенности, активизации участия пожилых людей в жизни общества;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социальная реабилитация и адаптация лиц, освободившихся из мест лишения свободы, и лиц, осужденных без изоляции от общества, направленная на восстановление утраченных общественных связей;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формирование организационных, правовых, финансовых и социально-экономических условий для деятельности социально ориентированных некоммерческих организаций, направленных на решение актуальных социальных проблем, развитие человеческого капитала, повышение доступности предоставляемых гражданам социальных услуг;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повышение качества и эффективности социальной поддержки семей с детьми;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развитие и повышение эффективности системы отдыха и оздоровления детей, находящихся в трудной жизненной ситуации;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повышение качества жизни и обеспечение прав на меры социальной поддержки отдельных категорий граждан, проживающих в Республике Тыва;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повышение качества и эффективности социального обслуживания граждан, находящихся в трудной жизненной ситуации;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государственная поддержка решения жилищной проблемы детей-сирот, детей, оставшихся без попечения родителей, лиц из числа детей-сирот и детей, оставшихся без попечения родителей;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оказание адресной натуральной помощи путем заключения социального контракта;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социальная поддержка семей, имеющих несовершеннолетних детей, проживающих в сельских населенных пунктах на территории Республики Тыва;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снижение уровня бедности</w:t>
            </w:r>
          </w:p>
        </w:tc>
      </w:tr>
      <w:tr w:rsidR="00894EBF" w:rsidRPr="00894EB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94EBF" w:rsidRPr="00894EBF" w:rsidRDefault="00894EBF" w:rsidP="00894EBF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 xml:space="preserve">обеспечение адресного предоставления отдельным </w:t>
            </w:r>
            <w:r w:rsidRPr="00894EBF">
              <w:rPr>
                <w:sz w:val="24"/>
                <w:szCs w:val="24"/>
              </w:rPr>
              <w:lastRenderedPageBreak/>
              <w:t>категориям граждан социальной помощи, услуг социального характера в соответствии с региональным законодательством;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обеспечение граждан пожилого возраста информацией о принимаемых мерах по улучшению их правового, социально-экономического положения, о предоставляемых социальных услугах организациями социального обслуживания;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улучшение качества социального обслуживания граждан пожилого возраста, повышение престижа профессии социальных работников;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обеспечение финансово-хозяйственной деятельности стационарных организаций социального обслуживания;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реализация комплекса мероприятий по социальной реабилитации и адаптации лиц, освободившихся из мест лишения свободы, и лиц, осужденных без изоляции от общества, направленная на восстановление утраченных общественных связей;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формирование благоприятных условий для осуществления деятельности социально ориентированных некоммерческих организаций;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привлечение (через проведение конкурсных процедур) большего количества социально ориентированных некоммерческих организаций к решению задач социально-экономического и культурного развития региона;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повышение гражданской активности жителей Республики Тыва через участие в реализации проектов социально ориентированных некоммерческих организаций;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развитие практики благотворительной деятельности граждан и организаций, а также стимулирование и распространение добровольческой деятельности (</w:t>
            </w:r>
            <w:proofErr w:type="spellStart"/>
            <w:r w:rsidRPr="00894EBF">
              <w:rPr>
                <w:sz w:val="24"/>
                <w:szCs w:val="24"/>
              </w:rPr>
              <w:t>волонтерства</w:t>
            </w:r>
            <w:proofErr w:type="spellEnd"/>
            <w:r w:rsidRPr="00894EBF">
              <w:rPr>
                <w:sz w:val="24"/>
                <w:szCs w:val="24"/>
              </w:rPr>
              <w:t>);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обеспечение выполнения в полном объеме государственных гарантий по предоставлению мер социальной поддержки семьям с детьми;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профилактика социального неблагополучия семей с детьми;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оказание социальных услуг семьям, детям, гражданам, находящимся в трудной жизненной ситуации, направленных на содействие улучшению их социального, материального положения и социально-психологического статуса;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повышение уровня оказания социальных услуг путем методического обеспечения специалистов организаций социального обслуживания семьи и детей Республики Тыва;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предоставление натуральной помощи семьям, стимулирование активных действий по преодолению трудной жизненной ситуации;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lastRenderedPageBreak/>
              <w:t>обеспечение отдыхом детей, находящихся в трудной жизненной ситуации;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строительство (приобретение) жилых помещений для последующего обеспечения жилыми помещениями детей-сирот и детей, оставшихся без попечения родителей, лиц из числа детей-сирот и детей, оставшихся попечения родителей, по договорам найма специализированных жилых помещений;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обеспечение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учет жилых помещений, включенных в специализированный жилищный фонд Республики Тыва и переданных на праве оперативного управления;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реализация комплекса мер по обеспечению прав и законных интересов детей-сирот и детей, оставшихся без попечения родителей</w:t>
            </w:r>
          </w:p>
        </w:tc>
      </w:tr>
      <w:tr w:rsidR="00894EBF" w:rsidRPr="00894EB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94EBF" w:rsidRPr="00894EBF" w:rsidRDefault="00894EBF" w:rsidP="00894EBF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охват пожилых людей, принявших участие в социально значимых мероприятиях, - 1600 человек;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удовлетворенность качеством предоставления социальных услуг их получателями в стационарных учреждениях социального обслуживания - 100 процентов;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участие негосударственных учреждений, некоммерческих организаций, субъектов малого и среднего бизнеса в предоставлении социальных услуг в сфере социального обслуживания - 4 единицы;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численность лиц, освободившихся из мест лишения свободы, и лиц, осужденных без изоляции от общества, получивших государственные услуги по содействию в поиске работы, организации общественных и временных работ и временного трудоустройства, - 112 человек;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количество социально ориентированных некоммерческих организаций, принявших участие в конкурсе на получение государственной поддержки, - 4 единицы;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доля законопроектов, в экспертизе которых приняли участие представители социально ориентированных некоммерческих организаций, в общем количестве разработанных законопроектов - 100 процентов;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обеспечение в полном объеме компенсацией отдельных категорий граждан для оплаты взноса на капитальный ремонт общего имущества в многоквартирном доме - 300 человек;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lastRenderedPageBreak/>
              <w:t>снижение уровня бедности - 20,2 процента;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обеспечение в полном объеме социальных выплат - 100 процентов;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численность семей с детьми, преодолевших трудную жизненную ситуацию посредством сопровождения, - 500 человек;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численность детей, находящихся в трудной жизненной ситуации, отдохнувших в детских оздоровительных лагерях стационарного типа, - 1895 человек;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создание рабочих мест при организации летнего отдыха, в год - 192 человека;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количество учреждений социального обслуживания населения, внедривших социальное сопровождение семей с детьми, - 20 ед.;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предоставление социального обслуживания в стационарной форме в году - 66506 койко-дней;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 xml:space="preserve">предоставление социального обслуживания в полустационарной форме в году - 41513 </w:t>
            </w:r>
            <w:proofErr w:type="spellStart"/>
            <w:r w:rsidRPr="00894EBF">
              <w:rPr>
                <w:sz w:val="24"/>
                <w:szCs w:val="24"/>
              </w:rPr>
              <w:t>детодней</w:t>
            </w:r>
            <w:proofErr w:type="spellEnd"/>
            <w:r w:rsidRPr="00894EBF">
              <w:rPr>
                <w:sz w:val="24"/>
                <w:szCs w:val="24"/>
              </w:rPr>
              <w:t>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proofErr w:type="gramStart"/>
            <w:r w:rsidRPr="00894EBF">
              <w:rPr>
                <w:sz w:val="24"/>
                <w:szCs w:val="24"/>
              </w:rPr>
              <w:t>доля детей, оставшихся без попечения родителей,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типов, - 99 процентов;</w:t>
            </w:r>
            <w:proofErr w:type="gramEnd"/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специализированного жилищного фонда по договорам найма специализированных жилых помещений, - 151 ребенок;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количество приемных семьей в республике - 125 семей;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доля детей-сирот и лиц из их числа, которым предоставлены жилые помещения специализированного жилищного фонда по договорам найма специализированных жилых помещений, от общей численности детей-сирот и лиц из их числа, нуждающихся в предоставлении жилого помещения, у которых право на получение жилого помещения возникло, но не реализовано, - 2,3 процента;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доля детей, находящихся в трудной жизненной ситуации, получивших социальные услуги в учреждениях социального обслуживания семьи и детей, от общего количества детей, состоящих на учете в органах социальной защиты, - 100 процентов;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 xml:space="preserve">число семей с тремя и более детьми, которые в </w:t>
            </w:r>
            <w:r w:rsidRPr="00894EBF">
              <w:rPr>
                <w:sz w:val="24"/>
                <w:szCs w:val="24"/>
              </w:rPr>
              <w:lastRenderedPageBreak/>
              <w:t>отчетном году получат ежемесячную денежную выплату, назначаемую в случае рождения третьего ребенка или последующих детей до достижения ребенком возраста 3 лет, - 4766 семей</w:t>
            </w:r>
          </w:p>
        </w:tc>
      </w:tr>
      <w:tr w:rsidR="00894EBF" w:rsidRPr="00894EB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94EBF" w:rsidRPr="00894EBF" w:rsidRDefault="00894EBF" w:rsidP="00894EBF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2021 - 2023 годы</w:t>
            </w:r>
          </w:p>
        </w:tc>
      </w:tr>
      <w:tr w:rsidR="00894EBF" w:rsidRPr="00894EB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94EBF" w:rsidRPr="00894EBF" w:rsidRDefault="00894EBF" w:rsidP="00894EBF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общий объем финансирования за счет всех источников составляют 14475056,5 тыс. рублей, в том числе: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в 2021 г. - 4621804,5 тыс. рублей;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в 2022 г. - 4926626,0 тыс. рублей;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в 2023 г. - 4926626,0 тыс. рублей, в том числе за счет средств федерального бюджета - 8671956,0 тыс. рублей, в том числе: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в 2021 г. - 2823597,2 тыс. рублей;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в 2022 г. - 2924179,4 тыс. рублей;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в 2023 г. - 2924179,4 тыс. рублей;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республиканского бюджета Республики Тыва - 5495000,5 тыс. рублей: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в 2021 г. - 1695507,3 тыс. рублей;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в 2022 г. - 1899746,6 тыс. рублей;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в 2023 г. - 1899746,6 тыс. рублей;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внебюджетных источников - 308100 тыс. рублей: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в 2021 г. - 102700 тыс. рублей;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в 2022 г. - 102700 тыс. рублей;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в 2023 г. - 102700 тыс. рублей.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Финансирование по подпрограммам:</w:t>
            </w:r>
          </w:p>
          <w:p w:rsidR="00894EBF" w:rsidRPr="00894EBF" w:rsidRDefault="00C75424" w:rsidP="00894EBF">
            <w:pPr>
              <w:pStyle w:val="ConsPlusNormal"/>
              <w:rPr>
                <w:sz w:val="24"/>
                <w:szCs w:val="24"/>
              </w:rPr>
            </w:pPr>
            <w:hyperlink r:id="rId10" w:history="1">
              <w:r w:rsidR="00894EBF" w:rsidRPr="00894EBF">
                <w:rPr>
                  <w:color w:val="0000FF"/>
                  <w:sz w:val="24"/>
                  <w:szCs w:val="24"/>
                </w:rPr>
                <w:t>подпрограмма 1</w:t>
              </w:r>
            </w:hyperlink>
            <w:r w:rsidR="00894EBF" w:rsidRPr="00894EBF">
              <w:rPr>
                <w:sz w:val="24"/>
                <w:szCs w:val="24"/>
              </w:rPr>
              <w:t xml:space="preserve"> "Предоставление мер социальной поддержки отдельным категориям граждан в Республике Тыва на 2021 - 2023 годы" - общие затраты за счет всех источников финансирования составляют 3173039,6 тыс. рублей, в том числе: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в 2021 г. - 1056549,0 тыс. рублей;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в 2022 г. - 1058245,3 тыс. рублей;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в 2023 г. - 1058245,3 тыс. рублей, из них: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за счет средств федерального бюджета - 1468144,1 тыс. рублей, в том числе: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в 2021 г. - 489060,1 тыс. рублей;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в 2022 г. - 489542,0 тыс. рублей;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в 2023 г. - 489542,0 тыс. рублей;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за счет средств республиканского бюджета - 1704895,5 тыс. рублей, в том числе: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в 2021 г. - 567488,9 тыс. рублей;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в 2022 г. - 568703,3 тыс. рублей;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в 2023 г. - 568703,3 тыс. рублей;</w:t>
            </w:r>
          </w:p>
          <w:p w:rsidR="00894EBF" w:rsidRPr="00894EBF" w:rsidRDefault="00C75424" w:rsidP="00894EBF">
            <w:pPr>
              <w:pStyle w:val="ConsPlusNormal"/>
              <w:rPr>
                <w:sz w:val="24"/>
                <w:szCs w:val="24"/>
              </w:rPr>
            </w:pPr>
            <w:hyperlink r:id="rId11" w:history="1">
              <w:r w:rsidR="00894EBF" w:rsidRPr="00894EBF">
                <w:rPr>
                  <w:color w:val="0000FF"/>
                  <w:sz w:val="24"/>
                  <w:szCs w:val="24"/>
                </w:rPr>
                <w:t>подпрограмма 2</w:t>
              </w:r>
            </w:hyperlink>
            <w:r w:rsidR="00894EBF" w:rsidRPr="00894EBF">
              <w:rPr>
                <w:sz w:val="24"/>
                <w:szCs w:val="24"/>
              </w:rPr>
              <w:t xml:space="preserve"> "Социальная поддержка и обслуживание граждан пожилого возраста и инвалидов в Республике Тыва на 2021 - 2023 годы" - общие затраты за счет всех источников финансирования составляют 1666007,6 тыс. рублей, </w:t>
            </w:r>
            <w:r w:rsidR="00894EBF" w:rsidRPr="00894EBF">
              <w:rPr>
                <w:sz w:val="24"/>
                <w:szCs w:val="24"/>
              </w:rPr>
              <w:lastRenderedPageBreak/>
              <w:t>в том числе: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в 2021 г. - 633058,2 тыс. рублей;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в 2022 г. - 516474,7 тыс. рублей;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в 2023 г. - 516474,7 тыс. рублей, из них: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за счет средств республиканского бюджета - 1012250,4 тыс. рублей, в том числе: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в 2021 г. - 292572,2 тыс. рублей;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в 2022 г. - 359839,1 тыс. рублей;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в 2023 г. - 359839,1 тыс. рублей;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за счет средств федерального бюджета - 345657,2 тыс. рублей, в том числе: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в 2021 г. - 237786,0 тыс. рублей;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в 2022 г. - 53935,6 тыс. рублей;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в 2023 г. - 53935,6 тыс. рублей;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за счет внебюджетных источников - 308100 тыс. рублей, в том числе: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в 2021 г. - 102700 тыс. рублей;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в 2022 г. - 102700 тыс. рублей;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в 2023 г. - 102700 тыс. рублей;</w:t>
            </w:r>
          </w:p>
          <w:p w:rsidR="00894EBF" w:rsidRPr="00894EBF" w:rsidRDefault="00C75424" w:rsidP="00894EBF">
            <w:pPr>
              <w:pStyle w:val="ConsPlusNormal"/>
              <w:rPr>
                <w:sz w:val="24"/>
                <w:szCs w:val="24"/>
              </w:rPr>
            </w:pPr>
            <w:hyperlink r:id="rId12" w:history="1">
              <w:r w:rsidR="00894EBF" w:rsidRPr="00894EBF">
                <w:rPr>
                  <w:color w:val="0000FF"/>
                  <w:sz w:val="24"/>
                  <w:szCs w:val="24"/>
                </w:rPr>
                <w:t>подпрограмма 3</w:t>
              </w:r>
            </w:hyperlink>
            <w:r w:rsidR="00894EBF" w:rsidRPr="00894EBF">
              <w:rPr>
                <w:sz w:val="24"/>
                <w:szCs w:val="24"/>
              </w:rPr>
              <w:t xml:space="preserve"> "Социальная реабилитация лиц, освободившихся из мест лишения свободы, и лиц, осужденных без изоляции от общества, на 2021 - 2023 годы" - финансирование расходов на реализацию мероприятий подпрограммы не предусмотрено;</w:t>
            </w:r>
          </w:p>
          <w:p w:rsidR="00894EBF" w:rsidRPr="00894EBF" w:rsidRDefault="00C75424" w:rsidP="00894EBF">
            <w:pPr>
              <w:pStyle w:val="ConsPlusNormal"/>
              <w:rPr>
                <w:sz w:val="24"/>
                <w:szCs w:val="24"/>
              </w:rPr>
            </w:pPr>
            <w:hyperlink r:id="rId13" w:history="1">
              <w:r w:rsidR="00894EBF" w:rsidRPr="00894EBF">
                <w:rPr>
                  <w:color w:val="0000FF"/>
                  <w:sz w:val="24"/>
                  <w:szCs w:val="24"/>
                </w:rPr>
                <w:t>подпрограмма 4</w:t>
              </w:r>
            </w:hyperlink>
            <w:r w:rsidR="00894EBF" w:rsidRPr="00894EBF">
              <w:rPr>
                <w:sz w:val="24"/>
                <w:szCs w:val="24"/>
              </w:rPr>
              <w:t xml:space="preserve"> "Поддержка социально ориентированных некоммерческих организаций в Республике Тыва на 2021 - 2023 годы" - общие затраты за счет средств республиканского бюджета Республики Тыва составляют 3866,40 тыс. рублей, в том числе: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в 2021 г. - 1237,00 тыс. рублей;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в 2022 г. - 1314,70 тыс. рублей;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в 2023 г. - 1314,70 тыс. рублей;</w:t>
            </w:r>
          </w:p>
          <w:p w:rsidR="00894EBF" w:rsidRPr="00894EBF" w:rsidRDefault="00C75424" w:rsidP="00894EBF">
            <w:pPr>
              <w:pStyle w:val="ConsPlusNormal"/>
              <w:rPr>
                <w:sz w:val="24"/>
                <w:szCs w:val="24"/>
              </w:rPr>
            </w:pPr>
            <w:hyperlink r:id="rId14" w:history="1">
              <w:r w:rsidR="00894EBF" w:rsidRPr="00894EBF">
                <w:rPr>
                  <w:color w:val="0000FF"/>
                  <w:sz w:val="24"/>
                  <w:szCs w:val="24"/>
                </w:rPr>
                <w:t>подпрограмма 5</w:t>
              </w:r>
            </w:hyperlink>
            <w:r w:rsidR="00894EBF" w:rsidRPr="00894EBF">
              <w:rPr>
                <w:sz w:val="24"/>
                <w:szCs w:val="24"/>
              </w:rPr>
              <w:t xml:space="preserve"> "Социальная защита семьи и детей на 2021 - 2023 годы" - общий объем финансирования составляет 9632142,9 тыс. рублей, из них: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в 2021 г. - 2930960,3 тыс. рублей;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в 2022 г. - 3350591,3 тыс. рублей;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в 2023 г. - 3350591,3 тыс. рублей, в том числе: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средства федерального бюджета - 6858154,7 тыс. рублей: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в 2021 г. - 2096751,1 тыс. рублей;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в 2022 г. - 2380701,8 тыс. рублей;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в 2023 г. - 2380701,8 тыс. рублей;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средства республиканского бюджета - 2773988,2 тыс. рублей: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в 2021 г. - 834209,2 тыс. рублей;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в 2022 г. - 969889,5 тыс. рублей;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в 2023 г. - 969889,5 тыс. рублей</w:t>
            </w:r>
          </w:p>
        </w:tc>
      </w:tr>
      <w:tr w:rsidR="00894EBF" w:rsidRPr="00894EBF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lastRenderedPageBreak/>
              <w:t xml:space="preserve">Ожидаемые результаты </w:t>
            </w:r>
            <w:r w:rsidRPr="00894EBF">
              <w:rPr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94EBF" w:rsidRPr="00894EBF" w:rsidRDefault="00894EBF" w:rsidP="00894EBF">
            <w:pPr>
              <w:pStyle w:val="ConsPlusNormal"/>
              <w:jc w:val="center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 xml:space="preserve">обеспечение в полном объеме гарантированных </w:t>
            </w:r>
            <w:r w:rsidRPr="00894EBF">
              <w:rPr>
                <w:sz w:val="24"/>
                <w:szCs w:val="24"/>
              </w:rPr>
              <w:lastRenderedPageBreak/>
              <w:t>государством социальных выплат отдельным категориям граждан;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совершенствование региональной нормативной правовой базы, направленной на усиление адресности при предоставлении мер социальной поддержки, оптимизация бюджетных расходов;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улучшение жилищных условий около 8 ветеранов боевых действий и 28 инвалидов;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обеспечение оперативного получения гражданами пожилого возраста необходимой информации в полном объеме о принимаемых мерах по улучшению их правового, социально-экономического положения, о предоставляемых социальных услугах организациями социального обслуживания через средства массовой информации и социальные сети;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оказание санаторно-курортного лечения ежегодно не менее 10 ветеранам войны и труда;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оказание материальной помощи ветеранам войны и труда ежегодно не менее 5 чел.;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увеличение охвата пожилых людей, принявших участие в социально значимых мероприятиях, до 1600 чел.;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повышение удовлетворенности качеством предоставления социальных услуг их получателями в стационарных организациях социального обслуживания от 92 до 100 процентов;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увеличение числа негосударственных учреждений, некоммерческих организаций, субъектов малого и среднего бизнеса, участвующих в предоставлении социальных услуг в сфере социального обслуживания, до 3 ед.;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достижение численности лиц, освободившихся из мест лишения свободы, и лиц, осужденных без изоляции от общества, получивших государственные услуги по содействию в поиске работы, организации общественных и временных работ и временного трудоустройства, 112 чел. против 92 в 2020 году;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увеличение количества социально ориентированных некоммерческих организаций, принявших участие в конкурсе для получения государственной поддержки (35,3 процента или 20 ед.);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увеличение доли законопроектов, в экспертизе которых приняли участие представители социально ориентированных некоммерческих организаций, в общем количестве разработанных законопроектов - от 60 до 100 процентов;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исполнение обязательств государства по социальной поддержке семей с детьми;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увеличение числа детей, находящихся в трудной жизненной ситуации, отдохнувших в детских оздоровительных лагерях стационарного типа;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 xml:space="preserve">увеличение доли детей-сирот и детей, оставшихся </w:t>
            </w:r>
            <w:r w:rsidRPr="00894EBF">
              <w:rPr>
                <w:sz w:val="24"/>
                <w:szCs w:val="24"/>
              </w:rPr>
              <w:lastRenderedPageBreak/>
              <w:t>без попечения родителей, переданных на воспитание в семьи, в общей численности детей-сирот и детей, оставшихся без попечения родителей;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удовлетворенность социальным сопровождением семей с детьми - 85 процентов от общей численности семей, получивших помощь по социальному сопровождению;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создание условий для предоставления качественных социальных услуг;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увеличение уровня обеспеченности населения жильем путем обеспечения государственной поддержкой детей-сирот,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 ежегодно;</w:t>
            </w:r>
          </w:p>
          <w:p w:rsidR="00894EBF" w:rsidRPr="00894EBF" w:rsidRDefault="00894EBF" w:rsidP="00894EBF">
            <w:pPr>
              <w:pStyle w:val="ConsPlusNormal"/>
              <w:rPr>
                <w:sz w:val="24"/>
                <w:szCs w:val="24"/>
              </w:rPr>
            </w:pPr>
            <w:r w:rsidRPr="00894EBF">
              <w:rPr>
                <w:sz w:val="24"/>
                <w:szCs w:val="24"/>
              </w:rPr>
              <w:t>снижение доли семей с детьми, находящихся в социально опасном положении, в общей численности семей с детьми, состоящих на учете в организациях социального обслуживания населения снизится с 11,9 процента в 2020 году до 9,6 процента в 2023 году.</w:t>
            </w:r>
          </w:p>
        </w:tc>
      </w:tr>
    </w:tbl>
    <w:p w:rsidR="00894EBF" w:rsidRPr="00894EBF" w:rsidRDefault="00894EBF" w:rsidP="00894EBF">
      <w:pPr>
        <w:pStyle w:val="ConsPlusNormal"/>
        <w:rPr>
          <w:sz w:val="24"/>
          <w:szCs w:val="24"/>
        </w:rPr>
      </w:pPr>
    </w:p>
    <w:p w:rsidR="00BD5AD7" w:rsidRPr="00894EBF" w:rsidRDefault="00BD5AD7" w:rsidP="00894EBF">
      <w:pPr>
        <w:ind w:firstLine="0"/>
        <w:rPr>
          <w:sz w:val="24"/>
          <w:szCs w:val="24"/>
        </w:rPr>
      </w:pPr>
    </w:p>
    <w:sectPr w:rsidR="00BD5AD7" w:rsidRPr="00894EBF" w:rsidSect="00173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BF"/>
    <w:rsid w:val="00125E17"/>
    <w:rsid w:val="004740D8"/>
    <w:rsid w:val="006F086D"/>
    <w:rsid w:val="00894EBF"/>
    <w:rsid w:val="00BA190D"/>
    <w:rsid w:val="00BD5AD7"/>
    <w:rsid w:val="00C7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0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E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94E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90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E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94E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76A45F5A35D789D9923565177B66980B2D49B06426BB91EA1268F5D22A3814A17BC6DF700280A234401E4DFADC89FD73E5E35B9FE68D8CF8A4FAkBkDO" TargetMode="External"/><Relationship Id="rId13" Type="http://schemas.openxmlformats.org/officeDocument/2006/relationships/hyperlink" Target="consultantplus://offline/ref=8E76A45F5A35D789D9923565177B66980B2D49B06426BB91EA1268F5D22A3814A17BC6DF700280A2344F1C44FADC89FD73E5E35B9FE68D8CF8A4FAkBkD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76A45F5A35D789D9923565177B66980B2D49B06426BB91EA1268F5D22A3814A17BC6DF700280A2344F1C44FADC89FD73E5E35B9FE68D8CF8A4FAkBkDO" TargetMode="External"/><Relationship Id="rId12" Type="http://schemas.openxmlformats.org/officeDocument/2006/relationships/hyperlink" Target="consultantplus://offline/ref=8E76A45F5A35D789D9923565177B66980B2D49B06426BB91EA1268F5D22A3814A17BC6DF700280A2344F1C44FADC89FD73E5E35B9FE68D8CF8A4FAkBkDO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76A45F5A35D789D9923565177B66980B2D49B06426BB91EA1268F5D22A3814A17BC6DF700280A2344D1640FADC89FD73E5E35B9FE68D8CF8A4FAkBkDO" TargetMode="External"/><Relationship Id="rId11" Type="http://schemas.openxmlformats.org/officeDocument/2006/relationships/hyperlink" Target="consultantplus://offline/ref=8E76A45F5A35D789D9923565177B66980B2D49B06426BB91EA1268F5D22A3814A17BC6DF700280A2344D1640FADC89FD73E5E35B9FE68D8CF8A4FAkBkDO" TargetMode="External"/><Relationship Id="rId5" Type="http://schemas.openxmlformats.org/officeDocument/2006/relationships/hyperlink" Target="consultantplus://offline/ref=8E76A45F5A35D789D9923565177B66980B2D49B06426BB91EA1268F5D22A3814A17BC6DF700280A2344C1645FADC89FD73E5E35B9FE68D8CF8A4FAkBkDO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E76A45F5A35D789D9923565177B66980B2D49B06426BB91EA1268F5D22A3814A17BC6DF700280A2344C1645FADC89FD73E5E35B9FE68D8CF8A4FAkBk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76A45F5A35D789D9923565177B66980B2D49B06426BB91EA1268F5D22A3814A17BC6DF700280A234411E4DFADC89FD73E5E35B9FE68D8CF8A4FAkBkDO" TargetMode="External"/><Relationship Id="rId14" Type="http://schemas.openxmlformats.org/officeDocument/2006/relationships/hyperlink" Target="consultantplus://offline/ref=8E76A45F5A35D789D9923565177B66980B2D49B06426BB91EA1268F5D22A3814A17BC6DF700280A2344F1C44FADC89FD73E5E35B9FE68D8CF8A4FAkBk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2810</Words>
  <Characters>16023</Characters>
  <Application>Microsoft Office Word</Application>
  <DocSecurity>0</DocSecurity>
  <Lines>133</Lines>
  <Paragraphs>37</Paragraphs>
  <ScaleCrop>false</ScaleCrop>
  <Company/>
  <LinksUpToDate>false</LinksUpToDate>
  <CharactersWithSpaces>18796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Лопсан Станислав Евгеньевич</dc:creator>
  <cp:lastModifiedBy>Сарыглар Шончалай Кимовна</cp:lastModifiedBy>
  <cp:revision>3</cp:revision>
  <dcterms:created xsi:type="dcterms:W3CDTF">2021-10-24T14:36:00Z</dcterms:created>
  <dcterms:modified xsi:type="dcterms:W3CDTF">2021-10-30T04:49:00Z</dcterms:modified>
</cp:coreProperties>
</file>