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B8" w:rsidRDefault="00134BB8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08798C" w:rsidRDefault="0008798C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FB3A945" wp14:editId="7A7162A7">
            <wp:extent cx="1847850" cy="1704949"/>
            <wp:effectExtent l="0" t="0" r="0" b="0"/>
            <wp:docPr id="1" name="Рисунок 1" descr="O:\информ технологий\_Общая папка отдела\Logo Minfin\Log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информ технологий\_Общая папка отдела\Logo Minfin\Logo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70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основные направления</w:t>
      </w:r>
    </w:p>
    <w:p w:rsidR="00A952C4" w:rsidRPr="00E276A2" w:rsidRDefault="00A952C4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бюджетной и налоговой политики Республики Тыва</w:t>
      </w:r>
    </w:p>
    <w:p w:rsidR="00A952C4" w:rsidRPr="00E276A2" w:rsidRDefault="0024004D" w:rsidP="00831E0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202</w:t>
      </w:r>
      <w:r w:rsidR="00B916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1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 и плановый период 202</w:t>
      </w:r>
      <w:r w:rsidR="00B916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2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="00A952C4" w:rsidRPr="00E276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202</w:t>
      </w:r>
      <w:r w:rsidR="00B9166A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3</w:t>
      </w:r>
      <w:r w:rsidR="00A952C4" w:rsidRPr="00E276A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годов</w:t>
      </w: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E276A2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Default="00A952C4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84A" w:rsidRDefault="0096584A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8D7" w:rsidRDefault="007948D7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2C4" w:rsidRPr="00E276A2" w:rsidRDefault="00661AD6" w:rsidP="00831E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Кызыл, 2020</w:t>
      </w:r>
      <w:r w:rsidR="00A952C4" w:rsidRPr="00E276A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952C4" w:rsidRPr="00E276A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8275B" w:rsidRDefault="00F8275B" w:rsidP="00F8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бюджетной и налоговой политики</w:t>
      </w:r>
    </w:p>
    <w:p w:rsidR="0015547A" w:rsidRDefault="00F8275B" w:rsidP="00F827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 на 2021 год и на плановый период 2020 и 2023 годов</w:t>
      </w:r>
    </w:p>
    <w:p w:rsidR="00F8275B" w:rsidRPr="00F8275B" w:rsidRDefault="00F8275B" w:rsidP="002551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7A" w:rsidRPr="00E276A2" w:rsidRDefault="0015547A" w:rsidP="00831E09">
      <w:pPr>
        <w:pStyle w:val="a4"/>
        <w:numPr>
          <w:ilvl w:val="0"/>
          <w:numId w:val="2"/>
        </w:numPr>
        <w:ind w:left="0"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E276A2">
        <w:rPr>
          <w:rFonts w:eastAsia="Times New Roman"/>
          <w:b/>
          <w:sz w:val="28"/>
          <w:szCs w:val="28"/>
          <w:lang w:eastAsia="ru-RU"/>
        </w:rPr>
        <w:t>Общие положения</w:t>
      </w:r>
    </w:p>
    <w:p w:rsidR="004E1537" w:rsidRPr="00E276A2" w:rsidRDefault="0015547A" w:rsidP="00792E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политики Республики Тыва на 202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 и </w:t>
      </w:r>
      <w:r w:rsidR="00F460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Основные направления) </w:t>
      </w:r>
      <w:r w:rsidR="00F460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в соответ</w:t>
      </w:r>
      <w:r w:rsidR="00792EC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бюджетным законодательством Российской Федерации и положениями статьи 8 </w:t>
      </w:r>
      <w:r w:rsidR="00B24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Тыва от 02 ноября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2010 г</w:t>
      </w:r>
      <w:r w:rsidR="00B243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39 ВХ-1 «О бюджет</w:t>
      </w:r>
      <w:r w:rsidR="00792EC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процессе в Ре</w:t>
      </w:r>
      <w:r w:rsidR="00E3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спублике Тыва» с учетом итогов </w:t>
      </w:r>
      <w:r w:rsidR="00792EC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бюджетной и налоговой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политики за 2019-2020</w:t>
      </w:r>
      <w:proofErr w:type="gramEnd"/>
      <w:r w:rsidR="00E31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="00661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51FF" w:rsidRDefault="002551FF" w:rsidP="0066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547A" w:rsidRPr="00E276A2" w:rsidRDefault="0015547A" w:rsidP="00661A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Основных направлений </w:t>
      </w:r>
      <w:r w:rsidR="002551F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и налоговой полит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51FF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="00661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учтены положения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61AD6" w:rsidRPr="002551FF" w:rsidRDefault="002551FF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FF">
        <w:rPr>
          <w:rFonts w:ascii="Times New Roman" w:hAnsi="Times New Roman"/>
          <w:sz w:val="28"/>
          <w:szCs w:val="28"/>
        </w:rPr>
        <w:t>Указов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 и от 21 июля 2020 года № 474 «О национальных целях развития Российской Федерации на период до 2030 года»</w:t>
      </w:r>
    </w:p>
    <w:p w:rsidR="00661AD6" w:rsidRPr="002551FF" w:rsidRDefault="002551FF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FF">
        <w:rPr>
          <w:rFonts w:ascii="Times New Roman" w:hAnsi="Times New Roman"/>
          <w:sz w:val="28"/>
          <w:szCs w:val="28"/>
        </w:rPr>
        <w:t>Послания Президента Российской Федерации Федеральному Собранию Российской Федерации от 15 января 2020 года</w:t>
      </w:r>
      <w:r>
        <w:rPr>
          <w:rFonts w:ascii="Times New Roman" w:hAnsi="Times New Roman"/>
          <w:sz w:val="28"/>
          <w:szCs w:val="28"/>
        </w:rPr>
        <w:t>;</w:t>
      </w:r>
    </w:p>
    <w:p w:rsidR="002551FF" w:rsidRPr="002551FF" w:rsidRDefault="002551FF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1FF">
        <w:rPr>
          <w:rFonts w:ascii="Times New Roman" w:hAnsi="Times New Roman"/>
          <w:sz w:val="28"/>
          <w:szCs w:val="28"/>
        </w:rPr>
        <w:t>Общенационального плана действий по нормализации деловой жизни, восстановлению занятости, доходов граждан и роста экономики</w:t>
      </w:r>
      <w:r>
        <w:rPr>
          <w:rFonts w:ascii="Times New Roman" w:hAnsi="Times New Roman"/>
          <w:sz w:val="28"/>
          <w:szCs w:val="28"/>
        </w:rPr>
        <w:t>,</w:t>
      </w:r>
      <w:r w:rsidRPr="002551FF">
        <w:rPr>
          <w:rFonts w:ascii="Times New Roman" w:hAnsi="Times New Roman"/>
          <w:sz w:val="28"/>
          <w:szCs w:val="28"/>
        </w:rPr>
        <w:t xml:space="preserve"> утвержденного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15547A" w:rsidRDefault="0015547A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</w:t>
      </w:r>
      <w:r w:rsidR="002551FF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направлений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бюджетной, налоговой и таможенно-тарифной полит</w:t>
      </w:r>
      <w:r w:rsidR="00CA1389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Российской Федерации на 20</w:t>
      </w:r>
      <w:r w:rsidR="002559DD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CA1389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годов;</w:t>
      </w:r>
    </w:p>
    <w:p w:rsidR="00780EB1" w:rsidRDefault="00780EB1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Послания</w:t>
      </w:r>
      <w:r w:rsidRPr="00255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Республики Тыва Верховному Хуралу (парламенту) Республики Тыва на 2020 год «Новая энергия развития. Жить в Туве. Годится Тувой»;</w:t>
      </w:r>
    </w:p>
    <w:p w:rsidR="002551FF" w:rsidRPr="00780EB1" w:rsidRDefault="00780EB1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EB1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Республики Тыва до 2030 года,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Тыва;</w:t>
      </w:r>
    </w:p>
    <w:p w:rsidR="0015547A" w:rsidRPr="00B9166A" w:rsidRDefault="0015547A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</w:t>
      </w:r>
      <w:r w:rsidR="002551F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социально-экономического развития Республики Тыва на 20</w:t>
      </w:r>
      <w:r w:rsidR="002559DD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166A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2559DD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9166A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559DD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9166A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59DD"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B916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515" w:rsidRPr="00614E0E" w:rsidRDefault="000F5515" w:rsidP="00792561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0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Индивидуальной программы социально-экономического развития Республики Тыва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202</w:t>
      </w:r>
      <w:r w:rsidR="00B300F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D1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2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7FD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Основных направлений является 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условий, используемых при составлении проекта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13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4E1537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E1537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80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подходов к его формированию, </w:t>
      </w:r>
      <w:r w:rsidR="00A777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сложившейся экономической ситуации в Российской Федерации и Республики Тыва, а также тенденций ее развития.</w:t>
      </w:r>
    </w:p>
    <w:p w:rsidR="00950246" w:rsidRDefault="00950246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0246" w:rsidRDefault="00950246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175D" w:rsidRDefault="00E6175D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Основные направления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бюджетной и налоговой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предстоящий трехлетний период сохраняют преемственность </w:t>
      </w:r>
      <w:r w:rsidR="00907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определенных ранее приоритетов и скорректированы с учетом текущей экономической ситуации и необходимостью реализации первоочередных задач.</w:t>
      </w:r>
    </w:p>
    <w:p w:rsidR="00CE3B13" w:rsidRDefault="00CE3B13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Экономическое развитие Республики Тыва, как и в Российской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целом, определяется эпидемиол</w:t>
      </w:r>
      <w:r w:rsidR="000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огической ситуацией, связанной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4B0599" w:rsidRDefault="000F56D2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Принятые в 2020 году м</w:t>
      </w:r>
      <w:r w:rsid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еры, направленные на предотвращение распространения новой </w:t>
      </w:r>
      <w:proofErr w:type="spellStart"/>
      <w:r w:rsid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на территории Республики Тыва, привели к резкому изменению финансового положения не только населения и бизнеса, но и бюджетов всех уровней.</w:t>
      </w:r>
    </w:p>
    <w:p w:rsidR="004B0599" w:rsidRDefault="00CE3B13" w:rsidP="007D30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деловой активности в реальном секторе экономики </w:t>
      </w:r>
      <w:r w:rsidR="000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Тыва, обусловленное принятыми в стране ограничительными мерами в связи с распространением новой </w:t>
      </w:r>
      <w:proofErr w:type="spellStart"/>
      <w:r w:rsidR="000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0F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инфекции, повлекло н</w:t>
      </w:r>
      <w:r w:rsidR="00901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только </w:t>
      </w:r>
      <w:r w:rsidR="000F56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корректировки бюджетных параметров текущего года, но оказало влияние на бюджетную и налоговую политику Республики Тыва на предстоящие три года.</w:t>
      </w:r>
    </w:p>
    <w:p w:rsidR="007D305A" w:rsidRDefault="00901DBC" w:rsidP="002033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05F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налоговая политика</w:t>
      </w:r>
      <w:r w:rsidR="00625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05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одним из главных инструментов, способствующих смягчению экономических последствий от введения ограничительных мер по сдерживанию роста заболеваемости.</w:t>
      </w:r>
    </w:p>
    <w:p w:rsidR="007D305A" w:rsidRDefault="007D305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стабилизации экономической ситуации основной целью налоговой и бюджетной политики станет постепенный возврат республики к налоговой и финансовой ситуации, существовавшей </w:t>
      </w:r>
      <w:r w:rsidR="00E9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докризисный период.</w:t>
      </w:r>
    </w:p>
    <w:p w:rsidR="00203325" w:rsidRDefault="00203325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бюджетной и налоговой политики направлены  на реализацию приоритетных задач социально-экономического развития Республики Тыва, выполнение которых планируется осуществлять с учетом обязательств,  установленных соглашением о мерах по социально-экономическому развитию и оздоровлению государственных</w:t>
      </w:r>
      <w:r w:rsidR="00E9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Республики Тыва, заключаемым ежегодно между  Министерством финансов Российской Федерации и Главой Республики Тыва в соответствии со статьей 131 Бюджетного кодекса Российской Федерации.</w:t>
      </w:r>
      <w:proofErr w:type="gramEnd"/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 планирование будет осуществляться на основе базового варианта прогноза социально-экономического развития Республики Тыва на 20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0332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332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20332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517B6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наиболее реалистичного при форм</w:t>
      </w:r>
      <w:r w:rsidR="00764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ировании доходной части бюджета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позволяющего минимизировать риск неисполнения принятых расходных обязательств.</w:t>
      </w:r>
    </w:p>
    <w:p w:rsidR="0015547A" w:rsidRPr="00E276A2" w:rsidRDefault="0015547A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Региональная бюджетная и налоговая политика строится на основании бюджетных приоритетов, определённых на федеральном уровне. </w:t>
      </w:r>
    </w:p>
    <w:p w:rsidR="00D70DE2" w:rsidRPr="00E276A2" w:rsidRDefault="00D70DE2" w:rsidP="00E276A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E09" w:rsidRPr="00AB49F6" w:rsidRDefault="001B4A45" w:rsidP="00831E0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AB49F6">
        <w:rPr>
          <w:b/>
          <w:sz w:val="28"/>
          <w:szCs w:val="28"/>
        </w:rPr>
        <w:t>Итоги реализации налоговой политики</w:t>
      </w:r>
      <w:r w:rsidR="00831E09" w:rsidRPr="00AB49F6">
        <w:rPr>
          <w:b/>
          <w:sz w:val="28"/>
          <w:szCs w:val="28"/>
        </w:rPr>
        <w:t xml:space="preserve"> </w:t>
      </w:r>
      <w:r w:rsidRPr="00AB49F6">
        <w:rPr>
          <w:b/>
          <w:sz w:val="28"/>
          <w:szCs w:val="28"/>
        </w:rPr>
        <w:t>Республики Тыва</w:t>
      </w:r>
    </w:p>
    <w:p w:rsidR="001B4A45" w:rsidRPr="00AB49F6" w:rsidRDefault="001B4A45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AB49F6">
        <w:rPr>
          <w:b/>
          <w:sz w:val="28"/>
          <w:szCs w:val="28"/>
        </w:rPr>
        <w:t xml:space="preserve">в </w:t>
      </w:r>
      <w:r w:rsidR="00AB49F6" w:rsidRPr="00AB49F6">
        <w:rPr>
          <w:b/>
          <w:sz w:val="28"/>
          <w:szCs w:val="28"/>
        </w:rPr>
        <w:t>2019</w:t>
      </w:r>
      <w:r w:rsidR="00D70DE2" w:rsidRPr="00AB49F6">
        <w:rPr>
          <w:b/>
          <w:sz w:val="28"/>
          <w:szCs w:val="28"/>
        </w:rPr>
        <w:t>-2020</w:t>
      </w:r>
      <w:r w:rsidRPr="00AB49F6">
        <w:rPr>
          <w:b/>
          <w:sz w:val="28"/>
          <w:szCs w:val="28"/>
        </w:rPr>
        <w:t xml:space="preserve"> годах</w:t>
      </w:r>
    </w:p>
    <w:p w:rsidR="00AB49F6" w:rsidRPr="00537D73" w:rsidRDefault="00AB49F6" w:rsidP="00AB49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7D73">
        <w:rPr>
          <w:rFonts w:ascii="Times New Roman" w:eastAsia="Calibri" w:hAnsi="Times New Roman" w:cs="Times New Roman"/>
          <w:sz w:val="28"/>
          <w:szCs w:val="28"/>
        </w:rPr>
        <w:t>На протяжении 2019 года экономическое развитие р</w:t>
      </w:r>
      <w:r w:rsidR="00E31E6F">
        <w:rPr>
          <w:rFonts w:ascii="Times New Roman" w:eastAsia="Calibri" w:hAnsi="Times New Roman" w:cs="Times New Roman"/>
          <w:sz w:val="28"/>
          <w:szCs w:val="28"/>
        </w:rPr>
        <w:t>еспублики</w:t>
      </w:r>
      <w:r w:rsidRPr="00537D73">
        <w:rPr>
          <w:rFonts w:ascii="Times New Roman" w:eastAsia="Calibri" w:hAnsi="Times New Roman" w:cs="Times New Roman"/>
          <w:sz w:val="28"/>
          <w:szCs w:val="28"/>
        </w:rPr>
        <w:t xml:space="preserve"> соответствовало общим тенденциям Российской Федерации. </w:t>
      </w:r>
    </w:p>
    <w:p w:rsidR="00AB49F6" w:rsidRPr="004049DA" w:rsidRDefault="00AB49F6" w:rsidP="00AB49F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lastRenderedPageBreak/>
        <w:t xml:space="preserve">По итогам </w:t>
      </w:r>
      <w:r w:rsidRPr="004049DA">
        <w:rPr>
          <w:rFonts w:ascii="Times New Roman" w:hAnsi="Times New Roman" w:cs="Times New Roman"/>
          <w:sz w:val="28"/>
          <w:szCs w:val="28"/>
        </w:rPr>
        <w:t>2019 года о</w:t>
      </w:r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бъем валового регионального продукта Республики Тыва, характеризующий результат производства товаров и услуг в регионе, достиг 72,3 млрд. рублей с ростом 105,2 % к уровню 2018 года, по оценке 2020 года валовой региональный продукт ожидается с небольшим ростом 0,9% к уровню 2019 года.</w:t>
      </w:r>
    </w:p>
    <w:p w:rsidR="00AB49F6" w:rsidRPr="004049DA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экономику региона в 2019 году привлечено инвестиций в сумме 17,5 млрд. рублей, что на 33,6% выше уровня 2018 года в сопоставимых ценах и значительно выше среднероссийского показателя </w:t>
      </w:r>
      <w:r w:rsidRPr="003D3C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(4,7%).</w:t>
      </w:r>
    </w:p>
    <w:p w:rsidR="00AB49F6" w:rsidRPr="004049DA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произошел спад промышленного производства (индекс промышленного производства в сопоставимых ценах составил 94,8% против 99,5% в 2018 году). Наибольшее замедление темпов роста отмечено в отрасли добычи полезных ископаемых: темп роста 2018 года составил 93,2% в сопоставимых ценах, по итогам 2019 года рассматриваемый индекс был отмечен на уровне 99,2%.</w:t>
      </w:r>
      <w:r w:rsidRPr="004049DA">
        <w:rPr>
          <w:rFonts w:ascii="Times New Roman" w:hAnsi="Times New Roman" w:cs="Times New Roman"/>
          <w:sz w:val="28"/>
          <w:szCs w:val="28"/>
        </w:rPr>
        <w:t xml:space="preserve"> </w:t>
      </w:r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Добывающие компании объясняют ситуацию отрицательной динамикой цен на уголь на мировом рынке.</w:t>
      </w:r>
    </w:p>
    <w:p w:rsidR="00AB49F6" w:rsidRPr="004049DA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оборота розничной торговли за 2019 год составил 26,2 млрд. рублей с индексом физического объема к уровню 2018 года 107%, что свидетельствует о повышении потребительской активности населения республики, что в свою очередь сказалось на индексе потребительских цен, который в 2019 году к декабрю 2018 года составил 103,3%, что выше показателей по Российской Федерации (на 0,26 </w:t>
      </w:r>
      <w:proofErr w:type="spellStart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.) и Сибирского</w:t>
      </w:r>
      <w:proofErr w:type="gramEnd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округа (на 0,28 </w:t>
      </w:r>
      <w:proofErr w:type="spellStart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</w:t>
      </w:r>
    </w:p>
    <w:p w:rsidR="00AB49F6" w:rsidRPr="004049DA" w:rsidRDefault="00AB49F6" w:rsidP="00AB49F6">
      <w:pPr>
        <w:suppressAutoHyphens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049D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Значительный рост индекса физического объема работ отмечен по виду деятельности «строительство» (143,4% относительно уровня 2018 года</w:t>
      </w:r>
      <w:r w:rsidRPr="004049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AB49F6" w:rsidRPr="004049DA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8"/>
          <w:szCs w:val="28"/>
          <w:lang w:eastAsia="ru-RU"/>
        </w:rPr>
      </w:pPr>
      <w:r w:rsidRPr="004049DA">
        <w:rPr>
          <w:rFonts w:ascii="Times New Roman" w:eastAsia="Calibri" w:hAnsi="Times New Roman" w:cs="Times New Roman"/>
          <w:sz w:val="28"/>
          <w:szCs w:val="28"/>
          <w:lang w:eastAsia="ru-RU"/>
        </w:rPr>
        <w:t>Сохранилась положительная динамика темпов роста заработной платы.</w:t>
      </w:r>
      <w:r w:rsidRPr="004049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4049DA">
        <w:rPr>
          <w:rFonts w:ascii="Times New Roman" w:eastAsia="Calibri" w:hAnsi="Times New Roman" w:cs="Times New Roman"/>
          <w:sz w:val="28"/>
          <w:szCs w:val="28"/>
          <w:lang w:eastAsia="ru-RU"/>
        </w:rPr>
        <w:t>По сравнению с 2018 годом среднемесячная номинальная начисленная заработная плата выросла на 9,7% и составила 39 251 рублей. При этом индекс реальной заработной платы составил 105,4%.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49DA">
        <w:rPr>
          <w:rFonts w:ascii="Times New Roman" w:hAnsi="Times New Roman" w:cs="Times New Roman"/>
          <w:sz w:val="28"/>
          <w:szCs w:val="28"/>
        </w:rPr>
        <w:t>Ситуация в банковском секторе Республики в 2019 году оставалась стабильной: продолжился рост кредитного портфеля на 16%, однако отмечена отрицательная динамика кредитного портфеля</w:t>
      </w:r>
      <w:r w:rsidRPr="00537D73">
        <w:rPr>
          <w:rFonts w:ascii="Times New Roman" w:hAnsi="Times New Roman" w:cs="Times New Roman"/>
          <w:sz w:val="28"/>
          <w:szCs w:val="28"/>
        </w:rPr>
        <w:t xml:space="preserve"> по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37D73">
        <w:rPr>
          <w:rFonts w:ascii="Times New Roman" w:hAnsi="Times New Roman" w:cs="Times New Roman"/>
          <w:sz w:val="28"/>
          <w:szCs w:val="28"/>
        </w:rPr>
        <w:t>снижение на 9%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37D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В 2019-2020 годах приняты решения, направленные на обеспечение и поддержание устойчивого социально-экономического развития региона.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1. В сфере налогового законодательства:</w:t>
      </w:r>
    </w:p>
    <w:p w:rsidR="00AB49F6" w:rsidRPr="00537D73" w:rsidRDefault="00AB49F6" w:rsidP="00AB49F6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537D73">
        <w:rPr>
          <w:sz w:val="28"/>
          <w:szCs w:val="28"/>
        </w:rPr>
        <w:t>1.1. В соответствии с Налоговым кодексом Российской Федерации законодательством республики установлен ряд налоговых льгот.</w:t>
      </w:r>
    </w:p>
    <w:p w:rsidR="00AB49F6" w:rsidRPr="00537D73" w:rsidRDefault="00AB49F6" w:rsidP="00AB49F6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537D73">
        <w:rPr>
          <w:sz w:val="28"/>
          <w:szCs w:val="28"/>
        </w:rPr>
        <w:t xml:space="preserve">Для инвесторов: </w:t>
      </w:r>
    </w:p>
    <w:p w:rsidR="00AB49F6" w:rsidRPr="00537D73" w:rsidRDefault="00AB49F6" w:rsidP="006E6579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537D73">
        <w:rPr>
          <w:sz w:val="28"/>
          <w:szCs w:val="28"/>
        </w:rPr>
        <w:t>-  инвестиционный налоговый вычет, который</w:t>
      </w:r>
      <w:r w:rsidRPr="00537D73">
        <w:rPr>
          <w:color w:val="000000" w:themeColor="text1"/>
          <w:sz w:val="28"/>
          <w:szCs w:val="28"/>
        </w:rPr>
        <w:t xml:space="preserve"> позволяет за счет льготы по налогу на прибыль окупить часть инвестиционных расходов на приобретение, создание, реконструкцию, модернизацию объектов основных </w:t>
      </w:r>
      <w:r w:rsidRPr="00537D73">
        <w:rPr>
          <w:color w:val="000000" w:themeColor="text1"/>
          <w:sz w:val="28"/>
          <w:szCs w:val="28"/>
        </w:rPr>
        <w:lastRenderedPageBreak/>
        <w:t>средств. В связи с пандемией, предприятия проводят оптимизацию расходов и инвестиционным налоговым вычетом пока никто не воспользовался</w:t>
      </w:r>
      <w:r w:rsidRPr="00537D73">
        <w:rPr>
          <w:sz w:val="28"/>
          <w:szCs w:val="28"/>
        </w:rPr>
        <w:t>;</w:t>
      </w:r>
    </w:p>
    <w:p w:rsidR="00AB49F6" w:rsidRPr="00537D73" w:rsidRDefault="00AB49F6" w:rsidP="006E657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- освобождение сроком на 5 лет от уплаты налога на имущество орган</w:t>
      </w:r>
      <w:r>
        <w:rPr>
          <w:rFonts w:ascii="Times New Roman" w:hAnsi="Times New Roman" w:cs="Times New Roman"/>
          <w:sz w:val="28"/>
          <w:szCs w:val="28"/>
        </w:rPr>
        <w:t>изаций для добывающих компаний,</w:t>
      </w:r>
      <w:r w:rsidRPr="00537D73">
        <w:rPr>
          <w:rFonts w:ascii="Times New Roman" w:hAnsi="Times New Roman" w:cs="Times New Roman"/>
          <w:sz w:val="28"/>
          <w:szCs w:val="28"/>
        </w:rPr>
        <w:t xml:space="preserve"> ежегодная добыча угля которых свыше 1 млн. тонн. По состоянию на текущую дату льгота по налогу на имущество организаций не предоставлена, в силу отсутствия заключенного инвестиционного соглашения с потенциальным получателем.</w:t>
      </w:r>
    </w:p>
    <w:p w:rsidR="00AB49F6" w:rsidRPr="00537D73" w:rsidRDefault="00AB49F6" w:rsidP="006E6579">
      <w:pPr>
        <w:pStyle w:val="a4"/>
        <w:suppressAutoHyphens/>
        <w:ind w:left="0" w:firstLine="709"/>
        <w:jc w:val="both"/>
        <w:rPr>
          <w:sz w:val="28"/>
        </w:rPr>
      </w:pPr>
      <w:r w:rsidRPr="00537D73">
        <w:rPr>
          <w:sz w:val="28"/>
          <w:szCs w:val="28"/>
        </w:rPr>
        <w:t xml:space="preserve">Для бюджетной сферы льгота установлена </w:t>
      </w:r>
      <w:r w:rsidRPr="00537D73">
        <w:rPr>
          <w:sz w:val="28"/>
        </w:rPr>
        <w:t>по налогу на имущество организаций для казенных, бюджетных и автономных учреждений по объектам, введенным с 1 января 2019 года, а также для государственных учреждений на чьем балансе находятся автомобильные дороги и сооружения на них. Данная мера позволяет исключить встречные финансовые потоки по расходам и доходам бюджета.</w:t>
      </w:r>
    </w:p>
    <w:p w:rsidR="00AB49F6" w:rsidRPr="00537D73" w:rsidRDefault="00AB49F6" w:rsidP="00AB49F6">
      <w:pPr>
        <w:pStyle w:val="a4"/>
        <w:suppressAutoHyphens/>
        <w:ind w:left="0" w:firstLine="709"/>
        <w:jc w:val="both"/>
        <w:rPr>
          <w:sz w:val="28"/>
          <w:szCs w:val="28"/>
        </w:rPr>
      </w:pPr>
    </w:p>
    <w:p w:rsidR="00AB49F6" w:rsidRPr="00232BA2" w:rsidRDefault="00AB49F6" w:rsidP="00A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1.2.  </w:t>
      </w:r>
      <w:r w:rsidRPr="00232BA2">
        <w:rPr>
          <w:rFonts w:ascii="Times New Roman" w:hAnsi="Times New Roman" w:cs="Times New Roman"/>
          <w:sz w:val="28"/>
        </w:rPr>
        <w:t xml:space="preserve">В целях поддержки субъектов </w:t>
      </w:r>
      <w:r w:rsidR="006E6579">
        <w:rPr>
          <w:rFonts w:ascii="Times New Roman" w:hAnsi="Times New Roman" w:cs="Times New Roman"/>
          <w:sz w:val="28"/>
        </w:rPr>
        <w:t>малого и среднего предпринимательства</w:t>
      </w:r>
      <w:r w:rsidRPr="00232BA2">
        <w:rPr>
          <w:rFonts w:ascii="Times New Roman" w:hAnsi="Times New Roman" w:cs="Times New Roman"/>
          <w:sz w:val="28"/>
        </w:rPr>
        <w:t xml:space="preserve">, в связи с введением ограничительных мер против распространения </w:t>
      </w:r>
      <w:proofErr w:type="spellStart"/>
      <w:r w:rsidRPr="00232BA2">
        <w:rPr>
          <w:rFonts w:ascii="Times New Roman" w:hAnsi="Times New Roman" w:cs="Times New Roman"/>
          <w:sz w:val="28"/>
        </w:rPr>
        <w:t>коронавирусной</w:t>
      </w:r>
      <w:proofErr w:type="spellEnd"/>
      <w:r w:rsidRPr="00232BA2">
        <w:rPr>
          <w:rFonts w:ascii="Times New Roman" w:hAnsi="Times New Roman" w:cs="Times New Roman"/>
          <w:sz w:val="28"/>
        </w:rPr>
        <w:t xml:space="preserve"> инфекции был принят Закон Республики Тыва от 09.04.2020 г. № 590-ЗРТ «Об особенностях применения упрощенной и патентной систем налогообложения на территории Республики Тыва в 2020 году». Положения закона предусматривают в </w:t>
      </w:r>
      <w:r>
        <w:rPr>
          <w:rFonts w:ascii="Times New Roman" w:hAnsi="Times New Roman" w:cs="Times New Roman"/>
          <w:sz w:val="28"/>
        </w:rPr>
        <w:t>текущем</w:t>
      </w:r>
      <w:r w:rsidRPr="00232BA2">
        <w:rPr>
          <w:rFonts w:ascii="Times New Roman" w:hAnsi="Times New Roman" w:cs="Times New Roman"/>
          <w:sz w:val="28"/>
        </w:rPr>
        <w:t xml:space="preserve"> году снижение налоговых ставок по упрощенной системе налогообложения по объекту налогообложения «доходы» с 6 до 1%, по объекту «доходы-расходы» с 15 до 5% для всех субъекто</w:t>
      </w:r>
      <w:r>
        <w:rPr>
          <w:rFonts w:ascii="Times New Roman" w:hAnsi="Times New Roman" w:cs="Times New Roman"/>
          <w:sz w:val="28"/>
        </w:rPr>
        <w:t xml:space="preserve">в предпринимательства, а также </w:t>
      </w:r>
      <w:r w:rsidRPr="00232BA2">
        <w:rPr>
          <w:rFonts w:ascii="Times New Roman" w:hAnsi="Times New Roman" w:cs="Times New Roman"/>
          <w:sz w:val="28"/>
        </w:rPr>
        <w:t>снижение стоимости па</w:t>
      </w:r>
      <w:r>
        <w:rPr>
          <w:rFonts w:ascii="Times New Roman" w:hAnsi="Times New Roman" w:cs="Times New Roman"/>
          <w:sz w:val="28"/>
        </w:rPr>
        <w:t>тента до 1 рубля. Данными мерами предварительно воспользовалось 2 421</w:t>
      </w:r>
      <w:r w:rsidRPr="00232BA2">
        <w:rPr>
          <w:rFonts w:ascii="Times New Roman" w:hAnsi="Times New Roman" w:cs="Times New Roman"/>
          <w:sz w:val="28"/>
        </w:rPr>
        <w:t xml:space="preserve"> налогоплательщиков по </w:t>
      </w:r>
      <w:r w:rsidR="006E6579">
        <w:rPr>
          <w:rFonts w:ascii="Times New Roman" w:hAnsi="Times New Roman" w:cs="Times New Roman"/>
          <w:sz w:val="28"/>
        </w:rPr>
        <w:t xml:space="preserve">упрощенной системе налогообложения </w:t>
      </w:r>
      <w:r w:rsidRPr="00232BA2">
        <w:rPr>
          <w:rFonts w:ascii="Times New Roman" w:hAnsi="Times New Roman" w:cs="Times New Roman"/>
          <w:sz w:val="28"/>
        </w:rPr>
        <w:t xml:space="preserve"> и </w:t>
      </w:r>
      <w:r>
        <w:rPr>
          <w:rFonts w:ascii="Times New Roman" w:hAnsi="Times New Roman" w:cs="Times New Roman"/>
          <w:sz w:val="28"/>
        </w:rPr>
        <w:t xml:space="preserve">528 </w:t>
      </w:r>
      <w:r w:rsidRPr="00232BA2">
        <w:rPr>
          <w:rFonts w:ascii="Times New Roman" w:hAnsi="Times New Roman" w:cs="Times New Roman"/>
          <w:sz w:val="28"/>
        </w:rPr>
        <w:t>по</w:t>
      </w:r>
      <w:r w:rsidR="006E6579">
        <w:rPr>
          <w:rFonts w:ascii="Times New Roman" w:hAnsi="Times New Roman" w:cs="Times New Roman"/>
          <w:sz w:val="28"/>
        </w:rPr>
        <w:t xml:space="preserve"> патентной системе налогообложения </w:t>
      </w:r>
      <w:r>
        <w:rPr>
          <w:rFonts w:ascii="Times New Roman" w:hAnsi="Times New Roman" w:cs="Times New Roman"/>
          <w:sz w:val="28"/>
        </w:rPr>
        <w:t>(по статистическим данным)</w:t>
      </w:r>
      <w:r w:rsidRPr="00232BA2">
        <w:rPr>
          <w:rFonts w:ascii="Times New Roman" w:hAnsi="Times New Roman" w:cs="Times New Roman"/>
          <w:sz w:val="28"/>
        </w:rPr>
        <w:t>. Данные ставки действуют на территории республики до 31 декабря 2020 года.</w:t>
      </w:r>
    </w:p>
    <w:p w:rsidR="00AB49F6" w:rsidRPr="00537D73" w:rsidRDefault="00AB49F6" w:rsidP="00A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F6" w:rsidRDefault="00AB49F6" w:rsidP="00AB49F6">
      <w:pPr>
        <w:pStyle w:val="a4"/>
        <w:suppressAutoHyphens/>
        <w:ind w:left="0" w:firstLine="709"/>
        <w:jc w:val="both"/>
        <w:rPr>
          <w:rFonts w:eastAsia="Times New Roman"/>
          <w:sz w:val="28"/>
          <w:szCs w:val="28"/>
        </w:rPr>
      </w:pPr>
      <w:r w:rsidRPr="00537D73">
        <w:rPr>
          <w:sz w:val="28"/>
          <w:szCs w:val="28"/>
        </w:rPr>
        <w:t xml:space="preserve">1.3. </w:t>
      </w:r>
      <w:r w:rsidRPr="008360FC">
        <w:rPr>
          <w:sz w:val="28"/>
          <w:szCs w:val="28"/>
        </w:rPr>
        <w:tab/>
        <w:t xml:space="preserve">В соответствии с федеральным законодательством с 2021 года отменяется специальный налоговый режим - единый налог на вмененный доход для отдельных видов деятельности. В этой связи до конца 2020 года необходимо обеспечить плавный переход налогоплательщиков </w:t>
      </w:r>
      <w:r>
        <w:rPr>
          <w:sz w:val="28"/>
          <w:szCs w:val="28"/>
        </w:rPr>
        <w:t>данного режима</w:t>
      </w:r>
      <w:r w:rsidRPr="008360FC">
        <w:rPr>
          <w:sz w:val="28"/>
          <w:szCs w:val="28"/>
        </w:rPr>
        <w:t xml:space="preserve"> на другие налоговые режимы</w:t>
      </w:r>
      <w:r>
        <w:rPr>
          <w:sz w:val="28"/>
          <w:szCs w:val="28"/>
        </w:rPr>
        <w:t xml:space="preserve"> </w:t>
      </w:r>
      <w:r w:rsidRPr="008360FC">
        <w:rPr>
          <w:sz w:val="28"/>
          <w:szCs w:val="28"/>
        </w:rPr>
        <w:t>(4 149 налогоплательщиков).</w:t>
      </w:r>
    </w:p>
    <w:p w:rsidR="00AB49F6" w:rsidRPr="00537D73" w:rsidRDefault="00AB49F6" w:rsidP="00AB49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Управлением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едеральной налоговой службы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России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Республике Тыва проводится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активная информационно-разъяснительная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кампания по переходу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налогоплательщиков на иные режимы налогообложения. 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 9 месяцев </w:t>
      </w:r>
      <w:r w:rsidR="006E657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2020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проведено 18 семинаров для налогоплательщиков, в том числе 2 семинара онлайн,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которых разъяснялись особенности ведения предпринимательской деятельности на иных системах налогообложения,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информационной телекоммуникационной сети «Интернет» опубликовано 14 статей и 2 стат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ьи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прессе, по одному выступлению на телевидении и радио. Изготовлена и реализована печатная продукция, кроме того на постоянной 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основе провод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Pr="00537D7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тся устное информирование плательщиков ЕНВД по телефону, осуществляются выходы в торговые точки.</w:t>
      </w:r>
    </w:p>
    <w:p w:rsidR="00AB49F6" w:rsidRPr="007F6E7D" w:rsidRDefault="00AB49F6" w:rsidP="00AB49F6">
      <w:pPr>
        <w:pStyle w:val="a4"/>
        <w:suppressAutoHyphens/>
        <w:ind w:left="0" w:firstLine="709"/>
        <w:jc w:val="both"/>
        <w:rPr>
          <w:rFonts w:eastAsia="Times New Roman"/>
          <w:sz w:val="28"/>
          <w:szCs w:val="28"/>
        </w:rPr>
      </w:pPr>
    </w:p>
    <w:p w:rsidR="00AB49F6" w:rsidRPr="00537D73" w:rsidRDefault="00AB49F6" w:rsidP="00AB49F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1.4. С 9 июля 2020 года в республике вступил в силу закон о новом специальном налоговом режиме – налог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7D73">
        <w:rPr>
          <w:rFonts w:ascii="Times New Roman" w:hAnsi="Times New Roman" w:cs="Times New Roman"/>
          <w:sz w:val="28"/>
          <w:szCs w:val="28"/>
        </w:rPr>
        <w:t xml:space="preserve"> на профессиональный доход. Физические лица и индивидуальные предприниматели, которые переходят или впервые регистрируются на новом специальном налоговом режиме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37D73">
        <w:rPr>
          <w:rFonts w:ascii="Times New Roman" w:hAnsi="Times New Roman" w:cs="Times New Roman"/>
          <w:sz w:val="28"/>
          <w:szCs w:val="28"/>
        </w:rPr>
        <w:t>самозанятые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537D73">
        <w:rPr>
          <w:rFonts w:ascii="Times New Roman" w:hAnsi="Times New Roman" w:cs="Times New Roman"/>
          <w:sz w:val="28"/>
          <w:szCs w:val="28"/>
        </w:rPr>
        <w:t xml:space="preserve">, будут платить с доходов от самостоятельной деятельности налог по льготной ставке – 4% или 6%. Это позволяет легально вести бизнес и получать доход от подработок без рисков получить штраф за незаконную предпринимательскую деятельность. За три месяца действия нового специального режима на территории зарегистрировалось </w:t>
      </w:r>
      <w:r>
        <w:rPr>
          <w:rFonts w:ascii="Times New Roman" w:hAnsi="Times New Roman" w:cs="Times New Roman"/>
          <w:sz w:val="28"/>
          <w:szCs w:val="28"/>
        </w:rPr>
        <w:t>643</w:t>
      </w:r>
      <w:r w:rsidRPr="00537D73">
        <w:rPr>
          <w:rFonts w:ascii="Times New Roman" w:hAnsi="Times New Roman" w:cs="Times New Roman"/>
          <w:sz w:val="28"/>
          <w:szCs w:val="28"/>
        </w:rPr>
        <w:t xml:space="preserve"> человек, с учетом предоставленного налогового вычета в сумме 22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73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 xml:space="preserve"> (10 тыс. рублей и 12 тыс. рублей)</w:t>
      </w:r>
      <w:r w:rsidRPr="00537D73">
        <w:rPr>
          <w:rFonts w:ascii="Times New Roman" w:hAnsi="Times New Roman" w:cs="Times New Roman"/>
          <w:sz w:val="28"/>
          <w:szCs w:val="28"/>
        </w:rPr>
        <w:t xml:space="preserve">, поступление налога составило пока только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537D73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D73">
        <w:rPr>
          <w:rFonts w:ascii="Times New Roman" w:hAnsi="Times New Roman" w:cs="Times New Roman"/>
          <w:sz w:val="28"/>
          <w:szCs w:val="28"/>
        </w:rPr>
        <w:t>рублей.</w:t>
      </w:r>
    </w:p>
    <w:p w:rsidR="00AB49F6" w:rsidRPr="00537D73" w:rsidRDefault="00AB49F6" w:rsidP="00AB49F6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отменой </w:t>
      </w:r>
      <w:r>
        <w:rPr>
          <w:rFonts w:ascii="Times New Roman" w:hAnsi="Times New Roman" w:cs="Times New Roman"/>
          <w:sz w:val="28"/>
          <w:szCs w:val="28"/>
        </w:rPr>
        <w:t>единого</w:t>
      </w:r>
      <w:r w:rsidRPr="008360FC">
        <w:rPr>
          <w:rFonts w:ascii="Times New Roman" w:hAnsi="Times New Roman" w:cs="Times New Roman"/>
          <w:sz w:val="28"/>
          <w:szCs w:val="28"/>
        </w:rPr>
        <w:t xml:space="preserve"> налог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60FC">
        <w:rPr>
          <w:rFonts w:ascii="Times New Roman" w:hAnsi="Times New Roman" w:cs="Times New Roman"/>
          <w:sz w:val="28"/>
          <w:szCs w:val="28"/>
        </w:rPr>
        <w:t xml:space="preserve"> на вмененный доход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альтернативным механизмом возможности осуществления предпринимательской деятельности является применение налога на профессиональный доход.</w:t>
      </w:r>
    </w:p>
    <w:p w:rsidR="00AB49F6" w:rsidRPr="00537D73" w:rsidRDefault="00AB49F6" w:rsidP="00AB4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С целью популяризации нового специального налогового режима распоряжением Правительства Республики Тыва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30.06.2020 г. № 272-р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 медиа-план, подготовлены материалы (листовк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аудио, видео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ролик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ориентированные на информирование о преимуществах и выгодах налога для </w:t>
      </w:r>
      <w:proofErr w:type="spellStart"/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самозанятых</w:t>
      </w:r>
      <w:proofErr w:type="spellEnd"/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 Информационные материалы размещаются в местах массового скопления людей и транслируются в средствах массовой информации и </w:t>
      </w:r>
      <w:proofErr w:type="spellStart"/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интернет-ресурсах</w:t>
      </w:r>
      <w:proofErr w:type="spellEnd"/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B49F6" w:rsidRPr="00537D73" w:rsidRDefault="00AB49F6" w:rsidP="00AB49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49F6" w:rsidRPr="00537D73" w:rsidRDefault="00AB49F6" w:rsidP="00A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1.5. 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2020 год распоряжением Министерства земельных и иму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щественных отношений Республики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от 24.12.2019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405-р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определен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перечень объектов недвижимого имущества, в отношении которых налоговая база по налогу на имущество организаций и налогу на имущество физических лиц определяется как кадастровая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стоимость, (далее – Перечень) в количестве 103 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ов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с суммой налога 37,9 млн.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рублей, что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35 объектов и 24,9 млн.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>рублей</w:t>
      </w:r>
      <w:proofErr w:type="gramEnd"/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больше,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 в 2019 году. </w:t>
      </w:r>
    </w:p>
    <w:p w:rsidR="00AB49F6" w:rsidRPr="00537D73" w:rsidRDefault="00AB49F6" w:rsidP="00A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Налоговыми органами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проводится комплекс мероприятий по привлечению к налогообложению организаций – собственников помещени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й, не включенных в Перечень, но </w:t>
      </w:r>
      <w:r w:rsidRPr="00537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расположенных в зданиях, которые включены в Перечень. 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2. В части повышения собираемости налогов и снижения уровня недоимки, ежегодно проводятся месячники и информационные к</w:t>
      </w:r>
      <w:r w:rsidRPr="00537D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ам</w:t>
      </w:r>
      <w:r w:rsidRPr="00537D73">
        <w:rPr>
          <w:rFonts w:ascii="Times New Roman" w:hAnsi="Times New Roman" w:cs="Times New Roman"/>
          <w:sz w:val="28"/>
          <w:szCs w:val="28"/>
        </w:rPr>
        <w:t>пании о порядке и сроках уплаты имущественных налогов физическими лицами, а также о необходимости погашения уже имеющейся задолженности</w:t>
      </w:r>
      <w:r w:rsidRPr="00537D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в совокупности с иными мерами работы с гражданами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37D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537D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налогоплательщиками,</w:t>
      </w:r>
      <w:r w:rsidRPr="00537D73">
        <w:rPr>
          <w:rFonts w:ascii="Times New Roman" w:hAnsi="Times New Roman" w:cs="Times New Roman"/>
          <w:sz w:val="28"/>
          <w:szCs w:val="28"/>
        </w:rPr>
        <w:t xml:space="preserve"> </w:t>
      </w:r>
      <w:r w:rsidRPr="00537D73">
        <w:rPr>
          <w:rFonts w:ascii="Times New Roman" w:hAnsi="Times New Roman" w:cs="Times New Roman"/>
          <w:sz w:val="28"/>
          <w:szCs w:val="28"/>
        </w:rPr>
        <w:lastRenderedPageBreak/>
        <w:t>способствовал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7D73">
        <w:rPr>
          <w:rFonts w:ascii="Times New Roman" w:hAnsi="Times New Roman" w:cs="Times New Roman"/>
          <w:sz w:val="28"/>
          <w:szCs w:val="28"/>
        </w:rPr>
        <w:t xml:space="preserve"> увеличению собираемости. </w:t>
      </w:r>
      <w:r w:rsidRPr="00537D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Так, показатель собираемости имущественных налогов с физических лиц в 2019 году достиг уровня 91%, что на 8 % пункта выше уровня 2018 года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</w:p>
    <w:p w:rsidR="00FD76BA" w:rsidRPr="00E276A2" w:rsidRDefault="00AB49F6" w:rsidP="00AB49F6">
      <w:pPr>
        <w:pStyle w:val="a4"/>
        <w:autoSpaceDE w:val="0"/>
        <w:autoSpaceDN w:val="0"/>
        <w:adjustRightInd w:val="0"/>
        <w:ind w:left="0"/>
        <w:jc w:val="both"/>
        <w:rPr>
          <w:rFonts w:eastAsia="Times New Roman"/>
          <w:sz w:val="28"/>
          <w:szCs w:val="28"/>
          <w:highlight w:val="yellow"/>
        </w:rPr>
      </w:pPr>
      <w:r>
        <w:rPr>
          <w:b/>
          <w:sz w:val="28"/>
          <w:szCs w:val="28"/>
        </w:rPr>
        <w:tab/>
      </w:r>
    </w:p>
    <w:p w:rsidR="00831E09" w:rsidRDefault="0015547A" w:rsidP="00831E09">
      <w:pPr>
        <w:pStyle w:val="a4"/>
        <w:numPr>
          <w:ilvl w:val="0"/>
          <w:numId w:val="3"/>
        </w:numPr>
        <w:autoSpaceDE w:val="0"/>
        <w:autoSpaceDN w:val="0"/>
        <w:adjustRightInd w:val="0"/>
        <w:ind w:left="0" w:firstLine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t>Итоги реализации бюджетной политики</w:t>
      </w:r>
      <w:r w:rsidR="00831E09" w:rsidRPr="00831E09">
        <w:rPr>
          <w:b/>
          <w:sz w:val="28"/>
          <w:szCs w:val="28"/>
        </w:rPr>
        <w:t xml:space="preserve"> </w:t>
      </w:r>
      <w:r w:rsidRPr="00831E09">
        <w:rPr>
          <w:b/>
          <w:sz w:val="28"/>
          <w:szCs w:val="28"/>
        </w:rPr>
        <w:t>Республики Тыва</w:t>
      </w:r>
    </w:p>
    <w:p w:rsidR="0015547A" w:rsidRDefault="0015547A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831E09">
        <w:rPr>
          <w:b/>
          <w:sz w:val="28"/>
          <w:szCs w:val="28"/>
        </w:rPr>
        <w:t>в 20</w:t>
      </w:r>
      <w:r w:rsidR="00FE62C7">
        <w:rPr>
          <w:b/>
          <w:sz w:val="28"/>
          <w:szCs w:val="28"/>
        </w:rPr>
        <w:t>19</w:t>
      </w:r>
      <w:r w:rsidR="00196221">
        <w:rPr>
          <w:b/>
          <w:sz w:val="28"/>
          <w:szCs w:val="28"/>
        </w:rPr>
        <w:t>-</w:t>
      </w:r>
      <w:r w:rsidR="00DD1EF8" w:rsidRPr="00831E09">
        <w:rPr>
          <w:b/>
          <w:sz w:val="28"/>
          <w:szCs w:val="28"/>
        </w:rPr>
        <w:t>20</w:t>
      </w:r>
      <w:r w:rsidR="00FE62C7">
        <w:rPr>
          <w:b/>
          <w:sz w:val="28"/>
          <w:szCs w:val="28"/>
        </w:rPr>
        <w:t>20</w:t>
      </w:r>
      <w:r w:rsidR="00F93F40" w:rsidRPr="00831E09">
        <w:rPr>
          <w:b/>
          <w:sz w:val="28"/>
          <w:szCs w:val="28"/>
        </w:rPr>
        <w:t xml:space="preserve"> годах</w:t>
      </w:r>
    </w:p>
    <w:p w:rsidR="007E58D3" w:rsidRPr="00831E09" w:rsidRDefault="007E58D3" w:rsidP="00831E09">
      <w:pPr>
        <w:pStyle w:val="a4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BF16D4" w:rsidRPr="00BF16D4" w:rsidRDefault="0015547A" w:rsidP="001030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В </w:t>
      </w:r>
      <w:r w:rsidR="00067ADC">
        <w:rPr>
          <w:rFonts w:ascii="Times New Roman" w:hAnsi="Times New Roman" w:cs="Times New Roman"/>
          <w:sz w:val="28"/>
          <w:szCs w:val="28"/>
        </w:rPr>
        <w:t>текущих</w:t>
      </w:r>
      <w:r w:rsidRPr="00E276A2">
        <w:rPr>
          <w:rFonts w:ascii="Times New Roman" w:hAnsi="Times New Roman" w:cs="Times New Roman"/>
          <w:sz w:val="28"/>
          <w:szCs w:val="28"/>
        </w:rPr>
        <w:t xml:space="preserve"> экономических условиях основ</w:t>
      </w:r>
      <w:r w:rsidR="00067ADC">
        <w:rPr>
          <w:rFonts w:ascii="Times New Roman" w:hAnsi="Times New Roman" w:cs="Times New Roman"/>
          <w:sz w:val="28"/>
          <w:szCs w:val="28"/>
        </w:rPr>
        <w:t>ные результаты</w:t>
      </w:r>
      <w:r w:rsidRPr="00E276A2">
        <w:rPr>
          <w:rFonts w:ascii="Times New Roman" w:hAnsi="Times New Roman" w:cs="Times New Roman"/>
          <w:sz w:val="28"/>
          <w:szCs w:val="28"/>
        </w:rPr>
        <w:t xml:space="preserve"> реализации бюджетной политики</w:t>
      </w:r>
      <w:r w:rsidR="001B4972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Pr="00E276A2">
        <w:rPr>
          <w:rFonts w:ascii="Times New Roman" w:hAnsi="Times New Roman" w:cs="Times New Roman"/>
          <w:sz w:val="28"/>
          <w:szCs w:val="28"/>
        </w:rPr>
        <w:t xml:space="preserve"> в 201</w:t>
      </w:r>
      <w:r w:rsidR="00731DDB">
        <w:rPr>
          <w:rFonts w:ascii="Times New Roman" w:hAnsi="Times New Roman" w:cs="Times New Roman"/>
          <w:sz w:val="28"/>
          <w:szCs w:val="28"/>
        </w:rPr>
        <w:t>9</w:t>
      </w:r>
      <w:r w:rsidR="000519D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E276A2">
        <w:rPr>
          <w:rFonts w:ascii="Times New Roman" w:hAnsi="Times New Roman" w:cs="Times New Roman"/>
          <w:sz w:val="28"/>
          <w:szCs w:val="28"/>
        </w:rPr>
        <w:t xml:space="preserve"> </w:t>
      </w:r>
      <w:r w:rsidR="00067ADC">
        <w:rPr>
          <w:rFonts w:ascii="Times New Roman" w:hAnsi="Times New Roman" w:cs="Times New Roman"/>
          <w:sz w:val="28"/>
          <w:szCs w:val="28"/>
        </w:rPr>
        <w:t>сложились следующим образом.</w:t>
      </w:r>
    </w:p>
    <w:p w:rsidR="0010307D" w:rsidRDefault="0010307D" w:rsidP="0010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Консолидированный бюджет Республики Тыва на 2019 год </w:t>
      </w:r>
      <w:r w:rsidR="00504F0E">
        <w:rPr>
          <w:rFonts w:ascii="Times New Roman" w:hAnsi="Times New Roman" w:cs="Times New Roman"/>
          <w:sz w:val="28"/>
          <w:szCs w:val="28"/>
        </w:rPr>
        <w:t xml:space="preserve">исполнен </w:t>
      </w:r>
      <w:r>
        <w:rPr>
          <w:rFonts w:ascii="Times New Roman" w:hAnsi="Times New Roman" w:cs="Times New Roman"/>
          <w:sz w:val="28"/>
          <w:szCs w:val="28"/>
        </w:rPr>
        <w:t xml:space="preserve">по доходам </w:t>
      </w:r>
      <w:r w:rsidR="00504F0E">
        <w:rPr>
          <w:rFonts w:ascii="Times New Roman" w:hAnsi="Times New Roman" w:cs="Times New Roman"/>
          <w:sz w:val="28"/>
          <w:szCs w:val="28"/>
        </w:rPr>
        <w:t>33704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04F0E">
        <w:rPr>
          <w:rFonts w:ascii="Times New Roman" w:hAnsi="Times New Roman" w:cs="Times New Roman"/>
          <w:sz w:val="28"/>
          <w:szCs w:val="28"/>
        </w:rPr>
        <w:t xml:space="preserve"> или 97% от плана (34810 млн. рублей)</w:t>
      </w:r>
      <w:r>
        <w:rPr>
          <w:rFonts w:ascii="Times New Roman" w:hAnsi="Times New Roman" w:cs="Times New Roman"/>
          <w:sz w:val="28"/>
          <w:szCs w:val="28"/>
        </w:rPr>
        <w:t xml:space="preserve">, по расходам </w:t>
      </w:r>
      <w:r w:rsidR="00504F0E">
        <w:rPr>
          <w:rFonts w:ascii="Times New Roman" w:hAnsi="Times New Roman" w:cs="Times New Roman"/>
          <w:sz w:val="28"/>
          <w:szCs w:val="28"/>
        </w:rPr>
        <w:t>– 34038</w:t>
      </w:r>
      <w:r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504F0E">
        <w:rPr>
          <w:rFonts w:ascii="Times New Roman" w:hAnsi="Times New Roman" w:cs="Times New Roman"/>
          <w:sz w:val="28"/>
          <w:szCs w:val="28"/>
        </w:rPr>
        <w:t xml:space="preserve"> или 92% от плана (37067 млн. рублей)</w:t>
      </w:r>
      <w:r>
        <w:rPr>
          <w:rFonts w:ascii="Times New Roman" w:hAnsi="Times New Roman" w:cs="Times New Roman"/>
          <w:sz w:val="28"/>
          <w:szCs w:val="28"/>
        </w:rPr>
        <w:t xml:space="preserve">, с дефицитом </w:t>
      </w:r>
      <w:r w:rsidR="00504F0E">
        <w:rPr>
          <w:rFonts w:ascii="Times New Roman" w:hAnsi="Times New Roman" w:cs="Times New Roman"/>
          <w:sz w:val="28"/>
          <w:szCs w:val="28"/>
        </w:rPr>
        <w:t>334</w:t>
      </w:r>
      <w:r>
        <w:rPr>
          <w:rFonts w:ascii="Times New Roman" w:hAnsi="Times New Roman" w:cs="Times New Roman"/>
          <w:sz w:val="28"/>
          <w:szCs w:val="28"/>
        </w:rPr>
        <w:t xml:space="preserve"> млн. рублей, </w:t>
      </w:r>
      <w:r w:rsidR="00ED2CE5">
        <w:rPr>
          <w:rFonts w:ascii="Times New Roman" w:hAnsi="Times New Roman" w:cs="Times New Roman"/>
          <w:sz w:val="28"/>
          <w:szCs w:val="28"/>
        </w:rPr>
        <w:t>который образовался в связи с остатками целевых средств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2CE5">
        <w:rPr>
          <w:rFonts w:ascii="Times New Roman" w:hAnsi="Times New Roman" w:cs="Times New Roman"/>
          <w:sz w:val="28"/>
          <w:szCs w:val="28"/>
        </w:rPr>
        <w:t>В 2019 году республикой обеспечено выполнение требований бюджетного законодательства по предельному размеру дефицита и предельному уровню государственного долга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2CE5" w:rsidRPr="007042B6" w:rsidRDefault="00ED2CE5" w:rsidP="00ED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01 января 2019 г. государственный долг Республики Тыва составил    </w:t>
      </w:r>
      <w:r w:rsidRPr="00B34915">
        <w:rPr>
          <w:rFonts w:ascii="Times New Roman" w:hAnsi="Times New Roman" w:cs="Times New Roman"/>
          <w:sz w:val="28"/>
          <w:szCs w:val="28"/>
        </w:rPr>
        <w:t xml:space="preserve">1 984 млн. рублей </w:t>
      </w:r>
      <w:r w:rsidRPr="00B0439B">
        <w:rPr>
          <w:rFonts w:ascii="Times New Roman" w:hAnsi="Times New Roman" w:cs="Times New Roman"/>
          <w:sz w:val="28"/>
          <w:szCs w:val="28"/>
        </w:rPr>
        <w:t>или 40 процентов от фактически поступившего объема налоговых и неналоговых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15">
        <w:rPr>
          <w:rFonts w:ascii="Times New Roman" w:hAnsi="Times New Roman" w:cs="Times New Roman"/>
          <w:sz w:val="28"/>
          <w:szCs w:val="28"/>
        </w:rPr>
        <w:t>доходов,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бюджетные кредиты – 1 305,7 млн. рублей, кредиты от кредитных организаций – 678,3 млн. рублей. По сравнению с уровнем на 01 января 2018 г. государственный долг с</w:t>
      </w:r>
      <w:r w:rsidRPr="007042B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зился</w:t>
      </w:r>
      <w:r w:rsidRPr="00704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042B6">
        <w:rPr>
          <w:rFonts w:ascii="Times New Roman" w:hAnsi="Times New Roman" w:cs="Times New Roman"/>
          <w:sz w:val="28"/>
          <w:szCs w:val="28"/>
        </w:rPr>
        <w:t xml:space="preserve"> 290 млн. рублей или 13%,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42B6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D2CE5" w:rsidRPr="007042B6" w:rsidRDefault="00D47039" w:rsidP="00ED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бюджетным кредитам на</w:t>
      </w:r>
      <w:r w:rsidR="00ED2CE5" w:rsidRPr="007042B6">
        <w:rPr>
          <w:rFonts w:ascii="Times New Roman" w:hAnsi="Times New Roman" w:cs="Times New Roman"/>
          <w:sz w:val="28"/>
          <w:szCs w:val="28"/>
        </w:rPr>
        <w:t xml:space="preserve"> 68 млн. рублей;</w:t>
      </w:r>
    </w:p>
    <w:p w:rsidR="00ED2CE5" w:rsidRPr="007042B6" w:rsidRDefault="00D47039" w:rsidP="00ED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 коммерческим кредитам на</w:t>
      </w:r>
      <w:r w:rsidR="00ED2CE5" w:rsidRPr="007042B6">
        <w:rPr>
          <w:rFonts w:ascii="Times New Roman" w:hAnsi="Times New Roman" w:cs="Times New Roman"/>
          <w:sz w:val="28"/>
          <w:szCs w:val="28"/>
        </w:rPr>
        <w:t xml:space="preserve"> 222 млн. рублей.</w:t>
      </w:r>
    </w:p>
    <w:p w:rsidR="0010307D" w:rsidRDefault="0010307D" w:rsidP="00103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34915">
        <w:rPr>
          <w:rFonts w:ascii="Times New Roman" w:hAnsi="Times New Roman" w:cs="Times New Roman"/>
          <w:sz w:val="28"/>
          <w:szCs w:val="28"/>
        </w:rPr>
        <w:t xml:space="preserve"> 2015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915">
        <w:rPr>
          <w:rFonts w:ascii="Times New Roman" w:hAnsi="Times New Roman" w:cs="Times New Roman"/>
          <w:sz w:val="28"/>
          <w:szCs w:val="28"/>
        </w:rPr>
        <w:t xml:space="preserve"> долгов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B34915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34915">
        <w:rPr>
          <w:rFonts w:ascii="Times New Roman" w:hAnsi="Times New Roman" w:cs="Times New Roman"/>
          <w:sz w:val="28"/>
          <w:szCs w:val="28"/>
        </w:rPr>
        <w:t xml:space="preserve"> снизил</w:t>
      </w:r>
      <w:r>
        <w:rPr>
          <w:rFonts w:ascii="Times New Roman" w:hAnsi="Times New Roman" w:cs="Times New Roman"/>
          <w:sz w:val="28"/>
          <w:szCs w:val="28"/>
        </w:rPr>
        <w:t>ась</w:t>
      </w:r>
      <w:r w:rsidRPr="00B34915">
        <w:rPr>
          <w:rFonts w:ascii="Times New Roman" w:hAnsi="Times New Roman" w:cs="Times New Roman"/>
          <w:sz w:val="28"/>
          <w:szCs w:val="28"/>
        </w:rPr>
        <w:t xml:space="preserve"> на 325 </w:t>
      </w:r>
      <w:r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Pr="00B34915">
        <w:rPr>
          <w:rFonts w:ascii="Times New Roman" w:hAnsi="Times New Roman" w:cs="Times New Roman"/>
          <w:sz w:val="28"/>
          <w:szCs w:val="28"/>
        </w:rPr>
        <w:t>с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15">
        <w:rPr>
          <w:rFonts w:ascii="Times New Roman" w:hAnsi="Times New Roman" w:cs="Times New Roman"/>
          <w:sz w:val="28"/>
          <w:szCs w:val="28"/>
        </w:rPr>
        <w:t xml:space="preserve">910 </w:t>
      </w:r>
      <w:r>
        <w:rPr>
          <w:rFonts w:ascii="Times New Roman" w:hAnsi="Times New Roman" w:cs="Times New Roman"/>
          <w:sz w:val="28"/>
          <w:szCs w:val="28"/>
        </w:rPr>
        <w:t xml:space="preserve">млн. рублей </w:t>
      </w:r>
      <w:r w:rsidRPr="00B34915">
        <w:rPr>
          <w:rFonts w:ascii="Times New Roman" w:hAnsi="Times New Roman" w:cs="Times New Roman"/>
          <w:sz w:val="28"/>
          <w:szCs w:val="28"/>
        </w:rPr>
        <w:t>до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34915">
        <w:rPr>
          <w:rFonts w:ascii="Times New Roman" w:hAnsi="Times New Roman" w:cs="Times New Roman"/>
          <w:sz w:val="28"/>
          <w:szCs w:val="28"/>
        </w:rPr>
        <w:t>984</w:t>
      </w:r>
      <w:r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10307D" w:rsidRDefault="0010307D" w:rsidP="00103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экономии расходов на обслуживание долговых обязательств в марте 2019 г. досрочно погашены коммерческие кредиты в сумме 678,3 млн. рублей за счет привлечения </w:t>
      </w:r>
      <w:r w:rsidRPr="00B34915">
        <w:rPr>
          <w:rFonts w:ascii="Times New Roman" w:hAnsi="Times New Roman" w:cs="Times New Roman"/>
          <w:sz w:val="28"/>
          <w:szCs w:val="28"/>
        </w:rPr>
        <w:t>казначейского кредита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4915">
        <w:rPr>
          <w:rFonts w:ascii="Times New Roman" w:hAnsi="Times New Roman" w:cs="Times New Roman"/>
          <w:sz w:val="28"/>
          <w:szCs w:val="28"/>
        </w:rPr>
        <w:t>(бюджетный кредит на пополнение остатков на счетах бюджета)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iCs/>
          <w:sz w:val="28"/>
          <w:szCs w:val="28"/>
        </w:rPr>
        <w:t>Экономия составила</w:t>
      </w:r>
      <w:r w:rsidRPr="00CE495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более 50 млн. рублей.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10307D" w:rsidRDefault="0010307D" w:rsidP="0010307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течение </w:t>
      </w:r>
      <w:r w:rsidR="008633DA">
        <w:rPr>
          <w:rFonts w:ascii="Times New Roman" w:hAnsi="Times New Roman" w:cs="Times New Roman"/>
          <w:bCs/>
          <w:iCs/>
          <w:sz w:val="28"/>
          <w:szCs w:val="28"/>
        </w:rPr>
        <w:t xml:space="preserve">2019 </w:t>
      </w:r>
      <w:r>
        <w:rPr>
          <w:rFonts w:ascii="Times New Roman" w:hAnsi="Times New Roman" w:cs="Times New Roman"/>
          <w:bCs/>
          <w:iCs/>
          <w:sz w:val="28"/>
          <w:szCs w:val="28"/>
        </w:rPr>
        <w:t>года д</w:t>
      </w:r>
      <w:r w:rsidRPr="00CE495A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ля обеспечения сбалансированности бюджета казначейский кредит привлечен 3 раза в размере 1 239 млн. рублей под 0,1% годовых.</w:t>
      </w:r>
    </w:p>
    <w:p w:rsidR="00ED2CE5" w:rsidRPr="00557B07" w:rsidRDefault="00ED2CE5" w:rsidP="00ED2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2017 года утвержден и реализуется план мероприятий по оздоровлению финансов Республики Тыва. Он включает мероприятия по </w:t>
      </w:r>
      <w:r w:rsidRPr="00557B07">
        <w:rPr>
          <w:rFonts w:ascii="Times New Roman" w:hAnsi="Times New Roman" w:cs="Times New Roman"/>
          <w:sz w:val="28"/>
          <w:szCs w:val="28"/>
        </w:rPr>
        <w:t>расширению налоговой базы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7B07">
        <w:rPr>
          <w:rFonts w:ascii="Times New Roman" w:hAnsi="Times New Roman" w:cs="Times New Roman"/>
          <w:sz w:val="28"/>
          <w:szCs w:val="28"/>
        </w:rPr>
        <w:t>администрировани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7B07">
        <w:rPr>
          <w:rFonts w:ascii="Times New Roman" w:hAnsi="Times New Roman" w:cs="Times New Roman"/>
          <w:sz w:val="28"/>
          <w:szCs w:val="28"/>
        </w:rPr>
        <w:t xml:space="preserve"> налогов</w:t>
      </w:r>
      <w:r>
        <w:rPr>
          <w:rFonts w:ascii="Times New Roman" w:hAnsi="Times New Roman" w:cs="Times New Roman"/>
          <w:sz w:val="28"/>
          <w:szCs w:val="28"/>
        </w:rPr>
        <w:t>ых и неналоговых доходов, инвентаризации имущества, находящегося в собственности республики, в целях выявления неиспользуемого имущества и принятия решения о его вовлечении в хозяйственный оборот, устранению неэффективных налоговых льгот, оптимизации расходов на содержание бюджетной сети, сокращению объема государственного долга.</w:t>
      </w:r>
      <w:r w:rsidRPr="00557B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039" w:rsidRDefault="00D47039" w:rsidP="00863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33DA" w:rsidRDefault="008633DA" w:rsidP="00863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iCs/>
          <w:sz w:val="28"/>
          <w:szCs w:val="28"/>
        </w:rPr>
        <w:t>В 2020 году д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ля обеспечения сбалансированности бюджета в условиях </w:t>
      </w:r>
      <w:r>
        <w:rPr>
          <w:rFonts w:ascii="Times New Roman" w:hAnsi="Times New Roman" w:cs="Times New Roman"/>
          <w:bCs/>
          <w:iCs/>
          <w:sz w:val="28"/>
          <w:szCs w:val="28"/>
        </w:rPr>
        <w:t>пандемии Правительством Республики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Тыва 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>приняты меры по оптимизации расходов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бюджета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 в общей сумме 293 млн. рублей</w:t>
      </w:r>
      <w:r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раза 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 xml:space="preserve">привлекались 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>казначейски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кредит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 xml:space="preserve">на общую сумму 1 992 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млн. рублей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>, привлекались остатки на счетах автономных и бюджетных учреждений, проведена реструктуризация бюджетных кредитов, полученных из федерального бюджета в 2015-2017 годах, в рамках проведенной Правительством</w:t>
      </w:r>
      <w:proofErr w:type="gramEnd"/>
      <w:r w:rsidRPr="009278BA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 реструктуризации обязатель</w:t>
      </w:r>
      <w:r>
        <w:rPr>
          <w:rFonts w:ascii="Times New Roman" w:hAnsi="Times New Roman" w:cs="Times New Roman"/>
          <w:bCs/>
          <w:iCs/>
          <w:sz w:val="28"/>
          <w:szCs w:val="28"/>
        </w:rPr>
        <w:t>ств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 xml:space="preserve"> субъектов </w:t>
      </w:r>
      <w:r w:rsidRPr="009278BA">
        <w:rPr>
          <w:rFonts w:ascii="Times New Roman" w:hAnsi="Times New Roman" w:cs="Times New Roman"/>
          <w:bCs/>
          <w:iCs/>
          <w:sz w:val="28"/>
          <w:szCs w:val="28"/>
          <w:lang w:val="x-none"/>
        </w:rPr>
        <w:t xml:space="preserve"> </w:t>
      </w:r>
      <w:r w:rsidRPr="009278BA">
        <w:rPr>
          <w:rFonts w:ascii="Times New Roman" w:hAnsi="Times New Roman" w:cs="Times New Roman"/>
          <w:bCs/>
          <w:iCs/>
          <w:sz w:val="28"/>
          <w:szCs w:val="28"/>
        </w:rPr>
        <w:t>Российской Федерации по бюджетным кредитам, срок погашения до 2030 года.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Высвободившиеся в 2020 году средства направляются на ликвидацию последствий распространения </w:t>
      </w:r>
      <w:proofErr w:type="spellStart"/>
      <w:r w:rsidRPr="005E015C">
        <w:rPr>
          <w:rFonts w:ascii="Times New Roman" w:hAnsi="Times New Roman" w:cs="Times New Roman"/>
          <w:bCs/>
          <w:iCs/>
          <w:sz w:val="28"/>
          <w:szCs w:val="28"/>
        </w:rPr>
        <w:t>коронавирусной</w:t>
      </w:r>
      <w:proofErr w:type="spellEnd"/>
      <w:r w:rsidRPr="005E015C">
        <w:rPr>
          <w:rFonts w:ascii="Times New Roman" w:hAnsi="Times New Roman" w:cs="Times New Roman"/>
          <w:bCs/>
          <w:iCs/>
          <w:sz w:val="28"/>
          <w:szCs w:val="28"/>
        </w:rPr>
        <w:t xml:space="preserve"> инфекции, а также на компенсацию снижения налоговых и неналоговых доходов, для республики – 137 млн. рублей.</w:t>
      </w:r>
    </w:p>
    <w:p w:rsidR="00D47039" w:rsidRDefault="00D47039" w:rsidP="008633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26398" w:rsidRDefault="008D1FF5" w:rsidP="00C26398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8D1FF5">
        <w:rPr>
          <w:rFonts w:ascii="Times New Roman" w:hAnsi="Times New Roman" w:cs="Times New Roman"/>
          <w:sz w:val="28"/>
          <w:szCs w:val="28"/>
        </w:rPr>
        <w:t>Бюджет республики оста</w:t>
      </w:r>
      <w:r w:rsidRPr="00E276A2">
        <w:rPr>
          <w:rFonts w:ascii="Times New Roman" w:hAnsi="Times New Roman" w:cs="Times New Roman"/>
          <w:sz w:val="28"/>
          <w:szCs w:val="28"/>
        </w:rPr>
        <w:t>етс</w:t>
      </w:r>
      <w:r w:rsidRPr="008D1FF5">
        <w:rPr>
          <w:rFonts w:ascii="Times New Roman" w:hAnsi="Times New Roman" w:cs="Times New Roman"/>
          <w:sz w:val="28"/>
          <w:szCs w:val="28"/>
        </w:rPr>
        <w:t xml:space="preserve">я социальным. </w:t>
      </w:r>
      <w:r w:rsidR="008633DA">
        <w:rPr>
          <w:rFonts w:ascii="Times New Roman" w:hAnsi="Times New Roman" w:cs="Times New Roman"/>
          <w:sz w:val="28"/>
          <w:szCs w:val="28"/>
        </w:rPr>
        <w:t>В 2019</w:t>
      </w:r>
      <w:r w:rsidRPr="00E276A2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633DA">
        <w:rPr>
          <w:rFonts w:ascii="Times New Roman" w:hAnsi="Times New Roman" w:cs="Times New Roman"/>
          <w:sz w:val="28"/>
          <w:szCs w:val="28"/>
        </w:rPr>
        <w:t>72</w:t>
      </w:r>
      <w:r w:rsidRPr="008D1FF5">
        <w:rPr>
          <w:rFonts w:ascii="Times New Roman" w:hAnsi="Times New Roman" w:cs="Times New Roman"/>
          <w:sz w:val="28"/>
          <w:szCs w:val="28"/>
        </w:rPr>
        <w:t xml:space="preserve">% объема бюджета — </w:t>
      </w:r>
      <w:r w:rsidR="008633DA">
        <w:rPr>
          <w:rFonts w:ascii="Times New Roman" w:hAnsi="Times New Roman" w:cs="Times New Roman"/>
          <w:sz w:val="28"/>
          <w:szCs w:val="28"/>
        </w:rPr>
        <w:t>24470</w:t>
      </w:r>
      <w:r w:rsidRPr="008D1FF5">
        <w:rPr>
          <w:rFonts w:ascii="Times New Roman" w:hAnsi="Times New Roman" w:cs="Times New Roman"/>
          <w:sz w:val="28"/>
          <w:szCs w:val="28"/>
        </w:rPr>
        <w:t xml:space="preserve"> млн. рублей направляются на выполнение социальных обязательств государства и на содержание сети</w:t>
      </w:r>
      <w:r w:rsidR="00993BF5">
        <w:rPr>
          <w:rFonts w:ascii="Times New Roman" w:hAnsi="Times New Roman" w:cs="Times New Roman"/>
          <w:sz w:val="28"/>
          <w:szCs w:val="28"/>
        </w:rPr>
        <w:t xml:space="preserve"> учреждений</w:t>
      </w:r>
      <w:r w:rsidRPr="008D1FF5">
        <w:rPr>
          <w:rFonts w:ascii="Times New Roman" w:hAnsi="Times New Roman" w:cs="Times New Roman"/>
          <w:sz w:val="28"/>
          <w:szCs w:val="28"/>
        </w:rPr>
        <w:t xml:space="preserve"> социальной сферы. </w:t>
      </w:r>
      <w:r w:rsidR="00C26398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Первоочередные и социально-значимые обязательства 2019 года выполнены</w:t>
      </w:r>
    </w:p>
    <w:p w:rsidR="00FD02DC" w:rsidRDefault="00B0244C" w:rsidP="00FD02DC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Наибольшую долю </w:t>
      </w:r>
      <w:r w:rsidR="008D1FF5"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расходов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бюджета Республики Тыва – </w:t>
      </w:r>
      <w:r w:rsidR="00ED2C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46</w:t>
      </w:r>
      <w:r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%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составляет фонд оплаты труда работников бюджетной сферы. Суммарно он составил </w:t>
      </w:r>
      <w:r w:rsidR="008633DA" w:rsidRPr="00D47039">
        <w:rPr>
          <w:rFonts w:ascii="Times New Roman" w:eastAsia="Times New Roman" w:hAnsi="Times New Roman" w:cs="Times New Roman"/>
          <w:sz w:val="28"/>
          <w:szCs w:val="28"/>
          <w:lang w:eastAsia="ru-RU"/>
        </w:rPr>
        <w:t>15490</w:t>
      </w:r>
      <w:r w:rsidR="008D1FF5" w:rsidRPr="008D1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млн. рублей или на </w:t>
      </w:r>
      <w:r w:rsidR="008633DA" w:rsidRPr="00C26398">
        <w:rPr>
          <w:rFonts w:ascii="Times New Roman" w:eastAsia="Times New Roman" w:hAnsi="Times New Roman" w:cs="Times New Roman"/>
          <w:sz w:val="28"/>
          <w:szCs w:val="28"/>
          <w:lang w:eastAsia="ru-RU"/>
        </w:rPr>
        <w:t>1340</w:t>
      </w:r>
      <w:r w:rsidR="008D1FF5" w:rsidRPr="008D1F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млн. рублей больше</w:t>
      </w:r>
      <w:r w:rsidR="008D1FF5"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63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 2018</w:t>
      </w:r>
      <w:r w:rsidR="008D1FF5" w:rsidRPr="008D1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341A27" w:rsidRDefault="008D1FF5" w:rsidP="0034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FF5">
        <w:rPr>
          <w:rFonts w:ascii="Times New Roman" w:hAnsi="Times New Roman" w:cs="Times New Roman"/>
          <w:sz w:val="28"/>
          <w:szCs w:val="28"/>
        </w:rPr>
        <w:t xml:space="preserve">На рост фонда оплаты труда повлияло повышение минимального </w:t>
      </w:r>
      <w:proofErr w:type="gramStart"/>
      <w:r w:rsidRPr="008D1FF5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Pr="008D1FF5">
        <w:rPr>
          <w:rFonts w:ascii="Times New Roman" w:hAnsi="Times New Roman" w:cs="Times New Roman"/>
          <w:sz w:val="28"/>
          <w:szCs w:val="28"/>
        </w:rPr>
        <w:t xml:space="preserve"> (МРОТ)</w:t>
      </w:r>
      <w:r w:rsidR="0012238E">
        <w:rPr>
          <w:rFonts w:ascii="Times New Roman" w:hAnsi="Times New Roman" w:cs="Times New Roman"/>
          <w:sz w:val="28"/>
          <w:szCs w:val="28"/>
        </w:rPr>
        <w:t xml:space="preserve"> и увеличение среднего размера заработной платы по региону.</w:t>
      </w:r>
      <w:r w:rsidRPr="008D1FF5">
        <w:rPr>
          <w:rFonts w:ascii="Times New Roman" w:hAnsi="Times New Roman" w:cs="Times New Roman"/>
          <w:sz w:val="28"/>
          <w:szCs w:val="28"/>
        </w:rPr>
        <w:t xml:space="preserve"> </w:t>
      </w:r>
      <w:r w:rsidR="00816608">
        <w:rPr>
          <w:rFonts w:ascii="Times New Roman" w:hAnsi="Times New Roman" w:cs="Times New Roman"/>
          <w:sz w:val="28"/>
          <w:szCs w:val="28"/>
        </w:rPr>
        <w:t>В 201</w:t>
      </w:r>
      <w:r w:rsidR="0012238E">
        <w:rPr>
          <w:rFonts w:ascii="Times New Roman" w:hAnsi="Times New Roman" w:cs="Times New Roman"/>
          <w:sz w:val="28"/>
          <w:szCs w:val="28"/>
        </w:rPr>
        <w:t>9</w:t>
      </w:r>
      <w:r w:rsidR="00816608">
        <w:rPr>
          <w:rFonts w:ascii="Times New Roman" w:hAnsi="Times New Roman" w:cs="Times New Roman"/>
          <w:sz w:val="28"/>
          <w:szCs w:val="28"/>
        </w:rPr>
        <w:t xml:space="preserve"> году расходы на п</w:t>
      </w:r>
      <w:r w:rsidRPr="008D1FF5">
        <w:rPr>
          <w:rFonts w:ascii="Times New Roman" w:hAnsi="Times New Roman" w:cs="Times New Roman"/>
          <w:sz w:val="28"/>
          <w:szCs w:val="28"/>
        </w:rPr>
        <w:t>овышение</w:t>
      </w:r>
      <w:r w:rsidR="0012238E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Pr="008D1FF5">
        <w:rPr>
          <w:rFonts w:ascii="Times New Roman" w:hAnsi="Times New Roman" w:cs="Times New Roman"/>
          <w:sz w:val="28"/>
          <w:szCs w:val="28"/>
        </w:rPr>
        <w:t xml:space="preserve"> удалось обеспечить</w:t>
      </w:r>
      <w:r w:rsidR="00D47039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8D1FF5">
        <w:rPr>
          <w:rFonts w:ascii="Times New Roman" w:hAnsi="Times New Roman" w:cs="Times New Roman"/>
          <w:sz w:val="28"/>
          <w:szCs w:val="28"/>
        </w:rPr>
        <w:t xml:space="preserve"> </w:t>
      </w:r>
      <w:r w:rsidR="00341A27" w:rsidRPr="00C26398">
        <w:rPr>
          <w:rFonts w:ascii="Times New Roman" w:eastAsia="Times New Roman" w:hAnsi="Times New Roman" w:cs="Times New Roman"/>
          <w:sz w:val="28"/>
          <w:szCs w:val="28"/>
          <w:lang w:eastAsia="ru-RU"/>
        </w:rPr>
        <w:t>58%</w:t>
      </w:r>
      <w:r w:rsidR="00341A27" w:rsidRPr="00621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1A27" w:rsidRPr="00C2639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дополнительной потребности</w:t>
      </w:r>
      <w:r w:rsidR="00341A27" w:rsidRPr="008D1FF5">
        <w:rPr>
          <w:rFonts w:ascii="Times New Roman" w:hAnsi="Times New Roman" w:cs="Times New Roman"/>
          <w:sz w:val="28"/>
          <w:szCs w:val="28"/>
        </w:rPr>
        <w:t xml:space="preserve"> </w:t>
      </w:r>
      <w:r w:rsidRPr="008D1FF5">
        <w:rPr>
          <w:rFonts w:ascii="Times New Roman" w:hAnsi="Times New Roman" w:cs="Times New Roman"/>
          <w:sz w:val="28"/>
          <w:szCs w:val="28"/>
        </w:rPr>
        <w:t>за счет получения дополнительной финансовой помощи из федерального бюджета</w:t>
      </w:r>
      <w:r w:rsidR="00341A27">
        <w:rPr>
          <w:rFonts w:ascii="Times New Roman" w:hAnsi="Times New Roman" w:cs="Times New Roman"/>
          <w:sz w:val="28"/>
          <w:szCs w:val="28"/>
        </w:rPr>
        <w:t xml:space="preserve"> и  </w:t>
      </w:r>
      <w:r w:rsidR="008633DA">
        <w:rPr>
          <w:rFonts w:ascii="Times New Roman" w:hAnsi="Times New Roman" w:cs="Times New Roman"/>
          <w:sz w:val="28"/>
          <w:szCs w:val="28"/>
        </w:rPr>
        <w:t>оптимизации расходов на содержание бюджетной сети</w:t>
      </w:r>
      <w:r w:rsidRPr="008D1FF5">
        <w:rPr>
          <w:rFonts w:ascii="Times New Roman" w:hAnsi="Times New Roman" w:cs="Times New Roman"/>
          <w:sz w:val="28"/>
          <w:szCs w:val="28"/>
        </w:rPr>
        <w:t>.</w:t>
      </w:r>
      <w:r w:rsidR="00341A27">
        <w:rPr>
          <w:rFonts w:ascii="Times New Roman" w:hAnsi="Times New Roman" w:cs="Times New Roman"/>
          <w:sz w:val="28"/>
          <w:szCs w:val="28"/>
        </w:rPr>
        <w:t xml:space="preserve"> </w:t>
      </w:r>
      <w:r w:rsidR="00341A27" w:rsidRPr="0062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Кредиторская задолженность по оплате труда работников бюджетной сферы на 01.01.2020 года составила </w:t>
      </w:r>
      <w:r w:rsidR="00341A27">
        <w:rPr>
          <w:rFonts w:ascii="Times New Roman" w:eastAsia="Times New Roman" w:hAnsi="Times New Roman" w:cs="Times New Roman"/>
          <w:sz w:val="28"/>
          <w:szCs w:val="28"/>
          <w:lang w:eastAsia="ru-RU"/>
        </w:rPr>
        <w:t>560</w:t>
      </w:r>
      <w:r w:rsidR="00341A27" w:rsidRPr="00621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рублей.</w:t>
      </w:r>
    </w:p>
    <w:p w:rsidR="00CA7AEB" w:rsidRPr="00181B29" w:rsidRDefault="00BB7ADF" w:rsidP="00181B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статистическим данным, с учетом работников федеральных учреждений, </w:t>
      </w:r>
      <w:r w:rsidRPr="0013186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средняя заработная плата по республике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первое полугод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ие 2020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составила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36554 рублей. Рост к уровню 2019</w:t>
      </w:r>
      <w:r w:rsidRPr="001318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</w:t>
      </w:r>
      <w:r w:rsidRPr="00110060">
        <w:rPr>
          <w:rFonts w:ascii="Times New Roman" w:eastAsia="Calibri" w:hAnsi="Times New Roman" w:cs="Times New Roman"/>
          <w:sz w:val="28"/>
          <w:szCs w:val="28"/>
          <w:lang w:eastAsia="ru-RU"/>
        </w:rPr>
        <w:t>на 8 % (за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2019г. – 33870 рублей).</w:t>
      </w:r>
    </w:p>
    <w:p w:rsidR="00BB7ADF" w:rsidRDefault="00BB7ADF" w:rsidP="00BB7ADF">
      <w:pPr>
        <w:tabs>
          <w:tab w:val="left" w:pos="615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2019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году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223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тыс. человек получили 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социальной поддержки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</w:rPr>
        <w:t>36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отдельным видам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. Общая сумма социальных выплат составила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962</w:t>
      </w:r>
      <w:r w:rsidRPr="008D1F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FF5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млн. рублей.</w:t>
      </w:r>
    </w:p>
    <w:p w:rsidR="001E0C9A" w:rsidRPr="00A56BC4" w:rsidRDefault="001E0C9A" w:rsidP="001E0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Тува вошла в число 10 субъектов </w:t>
      </w:r>
      <w:r w:rsidR="00A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proofErr w:type="gramStart"/>
      <w:r w:rsidR="00A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proofErr w:type="gramEnd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разработаны индивидуальные планы развития. Индивидуальный план развития Республики Тыва на 2020-2024 гг., имеет совершенно конкретную задачу – поднять уровень социально-экономического 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 региона до среднероссийского. Основная цель – повышение доходов жителей республики.</w:t>
      </w:r>
    </w:p>
    <w:p w:rsidR="001E0C9A" w:rsidRDefault="001E0C9A" w:rsidP="001E0C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получит 5 млрд. рублей на развитие до 2024 г. Деньги направляются на перспективные </w:t>
      </w:r>
      <w:proofErr w:type="spellStart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инвестпроекты</w:t>
      </w:r>
      <w:proofErr w:type="spellEnd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поддержку бизнеса, строительство доступного жилья и решение социальных проблем.</w:t>
      </w:r>
      <w:proofErr w:type="gramEnd"/>
    </w:p>
    <w:p w:rsidR="001E0C9A" w:rsidRPr="00A56BC4" w:rsidRDefault="001E0C9A" w:rsidP="00D47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направить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55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увеличение производства кирпича и железобетонных изделий, создание санаторно-курортного и оздоровительного комплекса «Чедер», организаци</w:t>
      </w:r>
      <w:r w:rsidR="00BA55D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 по переработке дикоросов, создание лесоперерабатывающего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производства.</w:t>
      </w:r>
      <w:r w:rsidR="00D47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Началось строительство горно-обогатительного комбината на базе медно-порфирового месторождения Ак-</w:t>
      </w:r>
      <w:proofErr w:type="spellStart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</w:t>
      </w:r>
      <w:proofErr w:type="spellEnd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Тоджинском</w:t>
      </w:r>
      <w:proofErr w:type="spellEnd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кожууне</w:t>
      </w:r>
      <w:proofErr w:type="spellEnd"/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Тыва. </w:t>
      </w:r>
      <w:r w:rsidR="00181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</w:t>
      </w:r>
      <w:r w:rsidRPr="00A56B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данного проекта из республиканского бюджета направлено 3 млрд. рублей, всего из бюджета направим 11 млрд. рублей до 2022 года. Общий объем привлеченных средств на проект составляет 72,6 млрд. рублей, создаст более 700 рабочих мест.</w:t>
      </w:r>
    </w:p>
    <w:p w:rsidR="001E0C9A" w:rsidRDefault="001E0C9A" w:rsidP="00E276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1E09" w:rsidRDefault="008E018D" w:rsidP="00831E09">
      <w:pPr>
        <w:pStyle w:val="a4"/>
        <w:numPr>
          <w:ilvl w:val="0"/>
          <w:numId w:val="3"/>
        </w:numPr>
        <w:ind w:left="0" w:firstLine="0"/>
        <w:jc w:val="center"/>
        <w:textAlignment w:val="baseline"/>
        <w:rPr>
          <w:b/>
          <w:sz w:val="28"/>
          <w:szCs w:val="28"/>
          <w:lang w:eastAsia="ru-RU"/>
        </w:rPr>
      </w:pPr>
      <w:r w:rsidRPr="00831E09">
        <w:rPr>
          <w:b/>
          <w:sz w:val="28"/>
          <w:szCs w:val="28"/>
          <w:lang w:eastAsia="ru-RU"/>
        </w:rPr>
        <w:t>Основные задачи и направления налоговой политики</w:t>
      </w:r>
    </w:p>
    <w:p w:rsidR="008E018D" w:rsidRDefault="00831E09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</w:t>
      </w:r>
      <w:r w:rsidR="00AB49F6">
        <w:rPr>
          <w:b/>
          <w:sz w:val="28"/>
          <w:szCs w:val="28"/>
          <w:lang w:eastAsia="ru-RU"/>
        </w:rPr>
        <w:t>на 2021</w:t>
      </w:r>
      <w:r w:rsidR="008E018D" w:rsidRPr="00831E09">
        <w:rPr>
          <w:b/>
          <w:sz w:val="28"/>
          <w:szCs w:val="28"/>
          <w:lang w:eastAsia="ru-RU"/>
        </w:rPr>
        <w:t xml:space="preserve"> год и на плановый период 202</w:t>
      </w:r>
      <w:r w:rsidR="00AB49F6">
        <w:rPr>
          <w:b/>
          <w:sz w:val="28"/>
          <w:szCs w:val="28"/>
          <w:lang w:eastAsia="ru-RU"/>
        </w:rPr>
        <w:t>2</w:t>
      </w:r>
      <w:r w:rsidR="008E018D" w:rsidRPr="00831E09">
        <w:rPr>
          <w:b/>
          <w:sz w:val="28"/>
          <w:szCs w:val="28"/>
          <w:lang w:eastAsia="ru-RU"/>
        </w:rPr>
        <w:t xml:space="preserve"> и 202</w:t>
      </w:r>
      <w:r w:rsidR="00AB49F6">
        <w:rPr>
          <w:b/>
          <w:sz w:val="28"/>
          <w:szCs w:val="28"/>
          <w:lang w:eastAsia="ru-RU"/>
        </w:rPr>
        <w:t>3</w:t>
      </w:r>
      <w:r w:rsidR="008E018D" w:rsidRPr="00831E09">
        <w:rPr>
          <w:b/>
          <w:sz w:val="28"/>
          <w:szCs w:val="28"/>
          <w:lang w:eastAsia="ru-RU"/>
        </w:rPr>
        <w:t xml:space="preserve"> годов</w:t>
      </w:r>
    </w:p>
    <w:p w:rsidR="007E58D3" w:rsidRDefault="007E58D3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>Восстановление ключевых макроэкономических показателей на докризисный уровень является основой стабильного социально-экономического развития республики. В качестве приоритета налоговой политики на ближайшие три года выступает создание условий для обеспечения сбалансированности бюджета Республики Тыва. Достижению поставленной цели будет способствовать решение ряда задач в следующих направлениях:</w:t>
      </w:r>
    </w:p>
    <w:p w:rsidR="00AB49F6" w:rsidRPr="00496D7C" w:rsidRDefault="00AB49F6" w:rsidP="00AB49F6">
      <w:pPr>
        <w:pStyle w:val="a4"/>
        <w:suppressAutoHyphens/>
        <w:ind w:left="0" w:firstLine="709"/>
        <w:jc w:val="both"/>
        <w:rPr>
          <w:i/>
          <w:sz w:val="28"/>
          <w:szCs w:val="28"/>
        </w:rPr>
      </w:pPr>
      <w:r w:rsidRPr="00496D7C">
        <w:rPr>
          <w:i/>
          <w:sz w:val="28"/>
          <w:szCs w:val="28"/>
        </w:rPr>
        <w:t>1. </w:t>
      </w:r>
      <w:r w:rsidRPr="00BD3767">
        <w:rPr>
          <w:b/>
          <w:i/>
          <w:sz w:val="28"/>
          <w:szCs w:val="28"/>
        </w:rPr>
        <w:t>Совершенствование налогового и бюджетного законодательства</w:t>
      </w:r>
      <w:r w:rsidRPr="00496D7C">
        <w:rPr>
          <w:i/>
          <w:sz w:val="28"/>
          <w:szCs w:val="28"/>
        </w:rPr>
        <w:t>:</w:t>
      </w:r>
    </w:p>
    <w:p w:rsidR="00AB49F6" w:rsidRDefault="00AB49F6" w:rsidP="00AB49F6">
      <w:pPr>
        <w:pStyle w:val="a4"/>
        <w:suppressAutoHyphens/>
        <w:ind w:left="0" w:firstLine="709"/>
        <w:jc w:val="both"/>
        <w:rPr>
          <w:sz w:val="28"/>
          <w:szCs w:val="28"/>
        </w:rPr>
      </w:pPr>
      <w:r w:rsidRPr="00537D73">
        <w:rPr>
          <w:sz w:val="28"/>
          <w:szCs w:val="28"/>
        </w:rPr>
        <w:t xml:space="preserve">1.1. Актуализация патентной системы налогообложения, за счет расширения дополнительного перечня видов предпринимательской деятельности и включения в него видов предпринимательской деятельности, применение которых осуществляется в рамках </w:t>
      </w:r>
      <w:r>
        <w:rPr>
          <w:sz w:val="28"/>
          <w:szCs w:val="28"/>
        </w:rPr>
        <w:t>единого налога на вмененный доход</w:t>
      </w:r>
      <w:r w:rsidRPr="00537D73">
        <w:rPr>
          <w:sz w:val="28"/>
          <w:szCs w:val="28"/>
        </w:rPr>
        <w:t>, а также корректировка действующих размеров потенциально возможного к получению индивидуальным предпринимателем годового дохода.</w:t>
      </w:r>
    </w:p>
    <w:p w:rsidR="00AB49F6" w:rsidRDefault="00AB49F6" w:rsidP="00AB49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года увеличивается размер о</w:t>
      </w:r>
      <w:r w:rsidRPr="00EA413B">
        <w:rPr>
          <w:rFonts w:ascii="Times New Roman" w:hAnsi="Times New Roman" w:cs="Times New Roman"/>
          <w:sz w:val="28"/>
          <w:szCs w:val="28"/>
        </w:rPr>
        <w:t>граничени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413B">
        <w:rPr>
          <w:rFonts w:ascii="Times New Roman" w:hAnsi="Times New Roman" w:cs="Times New Roman"/>
          <w:sz w:val="28"/>
          <w:szCs w:val="28"/>
        </w:rPr>
        <w:t xml:space="preserve"> по площади </w:t>
      </w:r>
      <w:r>
        <w:rPr>
          <w:rFonts w:ascii="Times New Roman" w:hAnsi="Times New Roman" w:cs="Times New Roman"/>
          <w:sz w:val="28"/>
          <w:szCs w:val="28"/>
        </w:rPr>
        <w:t>с 50</w:t>
      </w:r>
      <w:r w:rsidRPr="00EA413B">
        <w:rPr>
          <w:rFonts w:ascii="Times New Roman" w:hAnsi="Times New Roman" w:cs="Times New Roman"/>
          <w:sz w:val="28"/>
          <w:szCs w:val="28"/>
        </w:rPr>
        <w:t xml:space="preserve"> до 150 квадратных метров объектов стационарной торгов</w:t>
      </w:r>
      <w:r>
        <w:rPr>
          <w:rFonts w:ascii="Times New Roman" w:hAnsi="Times New Roman" w:cs="Times New Roman"/>
          <w:sz w:val="28"/>
          <w:szCs w:val="28"/>
        </w:rPr>
        <w:t xml:space="preserve">ой сети, имеющих торговые залы </w:t>
      </w:r>
      <w:r w:rsidRPr="00EA413B">
        <w:rPr>
          <w:rFonts w:ascii="Times New Roman" w:hAnsi="Times New Roman" w:cs="Times New Roman"/>
          <w:sz w:val="28"/>
          <w:szCs w:val="28"/>
        </w:rPr>
        <w:t>по каждому объекту организации торговли, и по площади объектов организации общественного питания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4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9F6" w:rsidRPr="00AE542C" w:rsidRDefault="00AB49F6" w:rsidP="00AB49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для налогоплательщиков </w:t>
      </w:r>
      <w:r w:rsidRPr="00537D73">
        <w:rPr>
          <w:rFonts w:ascii="Times New Roman" w:hAnsi="Times New Roman" w:cs="Times New Roman"/>
          <w:sz w:val="28"/>
          <w:szCs w:val="28"/>
        </w:rPr>
        <w:t>патентной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>, привлекающих наемных работников, будет предоставляться право уменьшить сумму налога на сумму уплаченных страховых взносов не более чем на 50 процентов.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lastRenderedPageBreak/>
        <w:t xml:space="preserve">Принятие законопроекта позволит многим предпринимателям осуществить безболезненный переход с </w:t>
      </w:r>
      <w:r>
        <w:rPr>
          <w:rFonts w:ascii="Times New Roman" w:hAnsi="Times New Roman" w:cs="Times New Roman"/>
          <w:sz w:val="28"/>
          <w:szCs w:val="28"/>
        </w:rPr>
        <w:t>единого налога на вмененный доход</w:t>
      </w:r>
      <w:r w:rsidRPr="00537D73">
        <w:rPr>
          <w:rFonts w:ascii="Times New Roman" w:hAnsi="Times New Roman" w:cs="Times New Roman"/>
          <w:sz w:val="28"/>
          <w:szCs w:val="28"/>
        </w:rPr>
        <w:t>.</w:t>
      </w:r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D73">
        <w:rPr>
          <w:rFonts w:ascii="Times New Roman" w:hAnsi="Times New Roman" w:cs="Times New Roman"/>
          <w:sz w:val="28"/>
          <w:szCs w:val="28"/>
        </w:rPr>
        <w:t xml:space="preserve">1.2. Поддержка бизнеса будет продолжена. Действующие в 2020 году пониженные ставки по </w:t>
      </w:r>
      <w:r>
        <w:rPr>
          <w:rFonts w:ascii="Times New Roman" w:hAnsi="Times New Roman" w:cs="Times New Roman"/>
          <w:sz w:val="28"/>
          <w:szCs w:val="28"/>
        </w:rPr>
        <w:t>упрощенной системе налогообложения</w:t>
      </w:r>
      <w:r w:rsidRPr="00537D73">
        <w:rPr>
          <w:rFonts w:ascii="Times New Roman" w:hAnsi="Times New Roman" w:cs="Times New Roman"/>
          <w:sz w:val="28"/>
          <w:szCs w:val="28"/>
        </w:rPr>
        <w:t xml:space="preserve"> будут возвращены на уровень докризисного состояния поэтапно, так в 2021 году ставки составят 3% по объекту налогообложения «доходы» и 7% по объекту налогообложения «доходы минус расходы». </w:t>
      </w:r>
      <w:r>
        <w:rPr>
          <w:rFonts w:ascii="Times New Roman" w:hAnsi="Times New Roman" w:cs="Times New Roman"/>
          <w:sz w:val="28"/>
          <w:szCs w:val="28"/>
        </w:rPr>
        <w:t>Существует риск ухудшения эпидемиологической ситуации, и введения ограничительных мер для бизнеса, в таком случае может быть принято законодательное решение о  возврате пониженных ставок на уровне текущего года.</w:t>
      </w:r>
    </w:p>
    <w:p w:rsidR="00AB49F6" w:rsidRPr="006A0302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Также п</w:t>
      </w:r>
      <w:r w:rsidRPr="006A0302">
        <w:rPr>
          <w:rFonts w:ascii="Times New Roman" w:hAnsi="Times New Roman" w:cs="Times New Roman"/>
          <w:sz w:val="28"/>
          <w:szCs w:val="28"/>
        </w:rPr>
        <w:t xml:space="preserve">родлеваются до 2024 года «налоговые каникулы» в виде нулевой налоговой ставки для налогоплательщиков - индивидуальных предпринимателей, впервые зарегистрированных на </w:t>
      </w:r>
      <w:r>
        <w:rPr>
          <w:rFonts w:ascii="Times New Roman" w:hAnsi="Times New Roman" w:cs="Times New Roman"/>
          <w:sz w:val="28"/>
          <w:szCs w:val="28"/>
        </w:rPr>
        <w:t xml:space="preserve">упрощенной </w:t>
      </w:r>
      <w:r w:rsidRPr="006A0302">
        <w:rPr>
          <w:rFonts w:ascii="Times New Roman" w:hAnsi="Times New Roman" w:cs="Times New Roman"/>
          <w:sz w:val="28"/>
          <w:szCs w:val="28"/>
        </w:rPr>
        <w:t xml:space="preserve">или </w:t>
      </w:r>
      <w:r w:rsidRPr="00537D73">
        <w:rPr>
          <w:rFonts w:ascii="Times New Roman" w:hAnsi="Times New Roman" w:cs="Times New Roman"/>
          <w:sz w:val="28"/>
          <w:szCs w:val="28"/>
        </w:rPr>
        <w:t>патентной систем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537D73">
        <w:rPr>
          <w:rFonts w:ascii="Times New Roman" w:hAnsi="Times New Roman" w:cs="Times New Roman"/>
          <w:sz w:val="28"/>
          <w:szCs w:val="28"/>
        </w:rPr>
        <w:t xml:space="preserve"> налогообложения</w:t>
      </w:r>
      <w:r w:rsidRPr="006A0302">
        <w:rPr>
          <w:rFonts w:ascii="Times New Roman" w:hAnsi="Times New Roman" w:cs="Times New Roman"/>
          <w:sz w:val="28"/>
          <w:szCs w:val="28"/>
        </w:rPr>
        <w:t>, в отношении видов предпринимательской деятельности в производственной, социальной и научной сферах, а также в сфере бытовых услуг населению.</w:t>
      </w:r>
      <w:proofErr w:type="gramEnd"/>
    </w:p>
    <w:p w:rsidR="00AB49F6" w:rsidRPr="00537D73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302">
        <w:rPr>
          <w:rFonts w:ascii="Times New Roman" w:hAnsi="Times New Roman" w:cs="Times New Roman"/>
          <w:sz w:val="28"/>
          <w:szCs w:val="28"/>
        </w:rPr>
        <w:t xml:space="preserve">За 2019 год данной мерой поддержки воспользовалось 79 </w:t>
      </w:r>
      <w:r>
        <w:rPr>
          <w:rFonts w:ascii="Times New Roman" w:hAnsi="Times New Roman" w:cs="Times New Roman"/>
          <w:sz w:val="28"/>
          <w:szCs w:val="28"/>
        </w:rPr>
        <w:t>предпринимателей</w:t>
      </w:r>
      <w:r w:rsidRPr="006A030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общую сумму</w:t>
      </w:r>
      <w:r w:rsidRPr="006A0302">
        <w:rPr>
          <w:rFonts w:ascii="Times New Roman" w:hAnsi="Times New Roman" w:cs="Times New Roman"/>
          <w:sz w:val="28"/>
          <w:szCs w:val="28"/>
        </w:rPr>
        <w:t xml:space="preserve"> 663 тыс. рублей.</w:t>
      </w:r>
    </w:p>
    <w:p w:rsidR="00AB49F6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</w:t>
      </w:r>
      <w:r w:rsidRPr="006A0302">
        <w:rPr>
          <w:rFonts w:ascii="Times New Roman" w:hAnsi="Times New Roman" w:cs="Times New Roman"/>
          <w:color w:val="000000" w:themeColor="text1"/>
          <w:sz w:val="28"/>
          <w:szCs w:val="28"/>
        </w:rPr>
        <w:t>С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6A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расширяется перечень объектов недвижимости, облагаемый налогом на имущество организаций по кадастровой стоимости.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Налоговым кодексом Российской Федерации п</w:t>
      </w:r>
      <w:r w:rsidRPr="006A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омимо торговых и офисных помещений к «кадастровым» объектам с 1 января 2020 года относятся: жилые помещения, гаражи, </w:t>
      </w:r>
      <w:proofErr w:type="spellStart"/>
      <w:r w:rsidRPr="006A0302">
        <w:rPr>
          <w:rFonts w:ascii="Times New Roman" w:hAnsi="Times New Roman" w:cs="Times New Roman"/>
          <w:color w:val="000000" w:themeColor="text1"/>
          <w:sz w:val="28"/>
          <w:szCs w:val="28"/>
        </w:rPr>
        <w:t>машино</w:t>
      </w:r>
      <w:proofErr w:type="spellEnd"/>
      <w:r w:rsidRPr="006A0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-места, объекты незавершенного строительства, а также жилые строения, садовые дома, хозяйственные строения или сооружения, расположенные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строительства. </w:t>
      </w:r>
      <w:proofErr w:type="gramEnd"/>
    </w:p>
    <w:p w:rsidR="00AB49F6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налогового органа дополнительная сумма налога по данным объектам составит 20 млн. рублей.</w:t>
      </w:r>
    </w:p>
    <w:p w:rsidR="00AB49F6" w:rsidRPr="00496D7C" w:rsidRDefault="00AB49F6" w:rsidP="00AB49F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8F6E06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ивается норматив</w:t>
      </w:r>
      <w:r w:rsidRPr="008F6E06">
        <w:rPr>
          <w:rFonts w:ascii="Times New Roman" w:hAnsi="Times New Roman" w:cs="Times New Roman"/>
          <w:sz w:val="28"/>
          <w:szCs w:val="28"/>
        </w:rPr>
        <w:t xml:space="preserve"> зачисления доходов от акцизов на нефтепродукты в бюджеты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в частности </w:t>
      </w:r>
      <w:r w:rsidRPr="008F6E06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норматив </w:t>
      </w:r>
      <w:r w:rsidRPr="008F6E06">
        <w:rPr>
          <w:rFonts w:ascii="Times New Roman" w:hAnsi="Times New Roman" w:cs="Times New Roman"/>
          <w:sz w:val="28"/>
          <w:szCs w:val="28"/>
        </w:rPr>
        <w:t>составит 74,9%</w:t>
      </w:r>
      <w:r>
        <w:rPr>
          <w:rFonts w:ascii="Times New Roman" w:hAnsi="Times New Roman" w:cs="Times New Roman"/>
          <w:sz w:val="28"/>
          <w:szCs w:val="28"/>
        </w:rPr>
        <w:t xml:space="preserve"> (в 2020 году составлял 66,6%)</w:t>
      </w:r>
      <w:r w:rsidRPr="008F6E06">
        <w:rPr>
          <w:rFonts w:ascii="Times New Roman" w:hAnsi="Times New Roman" w:cs="Times New Roman"/>
          <w:sz w:val="28"/>
          <w:szCs w:val="28"/>
        </w:rPr>
        <w:t>, в 2022 году – 83,3%, в 2022 году – 91,6%. Идет процесс поэтапного доведения к 2024 году доли бюджетов субъектов Российской Федерации до 100% и соответствующего снижения доли зачисления поступлений от указанных акцизов в федеральный бюджет.</w:t>
      </w:r>
      <w:proofErr w:type="gramEnd"/>
    </w:p>
    <w:p w:rsidR="00AB49F6" w:rsidRDefault="00AB49F6" w:rsidP="00AB49F6">
      <w:pPr>
        <w:pStyle w:val="a4"/>
        <w:suppressAutoHyphens/>
        <w:ind w:left="0"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537D73">
        <w:rPr>
          <w:sz w:val="28"/>
          <w:szCs w:val="28"/>
        </w:rPr>
        <w:t>Для компенсации выпа</w:t>
      </w:r>
      <w:r>
        <w:rPr>
          <w:sz w:val="28"/>
          <w:szCs w:val="28"/>
        </w:rPr>
        <w:t xml:space="preserve">дающих доходов местных бюджетов </w:t>
      </w:r>
      <w:r w:rsidRPr="00537D73">
        <w:rPr>
          <w:sz w:val="28"/>
          <w:szCs w:val="28"/>
        </w:rPr>
        <w:t xml:space="preserve">в связи с отменой с 2021 года системы налогообложения в виде единого налога на вмененный доход </w:t>
      </w:r>
      <w:r>
        <w:rPr>
          <w:color w:val="000000" w:themeColor="text1"/>
          <w:sz w:val="28"/>
          <w:szCs w:val="28"/>
        </w:rPr>
        <w:t>З</w:t>
      </w:r>
      <w:r w:rsidRPr="00537D73">
        <w:rPr>
          <w:color w:val="000000" w:themeColor="text1"/>
          <w:sz w:val="28"/>
          <w:szCs w:val="28"/>
        </w:rPr>
        <w:t>аконом Республики Тыва</w:t>
      </w:r>
      <w:r>
        <w:rPr>
          <w:color w:val="000000" w:themeColor="text1"/>
          <w:sz w:val="28"/>
          <w:szCs w:val="28"/>
        </w:rPr>
        <w:t xml:space="preserve"> от 27.11.2019 г. №551-ЗРТ, передан 100-</w:t>
      </w:r>
      <w:r w:rsidRPr="00537D73">
        <w:rPr>
          <w:color w:val="000000" w:themeColor="text1"/>
          <w:sz w:val="28"/>
          <w:szCs w:val="28"/>
        </w:rPr>
        <w:t>процентный норматив отчислени</w:t>
      </w:r>
      <w:r>
        <w:rPr>
          <w:color w:val="000000" w:themeColor="text1"/>
          <w:sz w:val="28"/>
          <w:szCs w:val="28"/>
        </w:rPr>
        <w:t>я</w:t>
      </w:r>
      <w:r w:rsidRPr="00537D73">
        <w:rPr>
          <w:color w:val="000000" w:themeColor="text1"/>
          <w:sz w:val="28"/>
          <w:szCs w:val="28"/>
        </w:rPr>
        <w:t xml:space="preserve"> от упр</w:t>
      </w:r>
      <w:r>
        <w:rPr>
          <w:color w:val="000000" w:themeColor="text1"/>
          <w:sz w:val="28"/>
          <w:szCs w:val="28"/>
        </w:rPr>
        <w:t>ощенной системы налогообложения</w:t>
      </w:r>
      <w:r w:rsidRPr="00537D73">
        <w:rPr>
          <w:color w:val="000000" w:themeColor="text1"/>
          <w:sz w:val="28"/>
          <w:szCs w:val="28"/>
        </w:rPr>
        <w:t xml:space="preserve"> в муниципальные районы и городские округа.</w:t>
      </w:r>
      <w:r>
        <w:rPr>
          <w:color w:val="000000" w:themeColor="text1"/>
          <w:sz w:val="28"/>
          <w:szCs w:val="28"/>
        </w:rPr>
        <w:t xml:space="preserve"> Данная мера направлена также на повышение самостоятельности местных бюджетов.</w:t>
      </w:r>
    </w:p>
    <w:p w:rsidR="00AB49F6" w:rsidRPr="008F6E06" w:rsidRDefault="00AB49F6" w:rsidP="00AB49F6">
      <w:pPr>
        <w:tabs>
          <w:tab w:val="left" w:pos="993"/>
        </w:tabs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B49F6" w:rsidRPr="00255161" w:rsidRDefault="00AB49F6" w:rsidP="00AB49F6">
      <w:pPr>
        <w:pStyle w:val="a4"/>
        <w:ind w:left="0" w:firstLine="709"/>
        <w:jc w:val="both"/>
        <w:rPr>
          <w:i/>
          <w:color w:val="000000" w:themeColor="text1"/>
          <w:sz w:val="28"/>
          <w:szCs w:val="28"/>
        </w:rPr>
      </w:pPr>
      <w:r w:rsidRPr="00255161">
        <w:rPr>
          <w:i/>
          <w:sz w:val="28"/>
          <w:szCs w:val="28"/>
        </w:rPr>
        <w:lastRenderedPageBreak/>
        <w:t>2.</w:t>
      </w:r>
      <w:r w:rsidRPr="00BD3767">
        <w:rPr>
          <w:b/>
          <w:i/>
          <w:color w:val="000000" w:themeColor="text1"/>
          <w:sz w:val="28"/>
          <w:szCs w:val="28"/>
        </w:rPr>
        <w:t>Повышение собираемости налогов и снижение уровня недоимки.</w:t>
      </w:r>
    </w:p>
    <w:p w:rsidR="00AB49F6" w:rsidRPr="00255161" w:rsidRDefault="00AB49F6" w:rsidP="00AB49F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Благодаря межведомственному взаимодействию налоговой службы, судебных приставов, ГИБДД и органов местного самоуправления республики, ежегодно растет показатель собираемости имущественных налогов с физических лиц. В 2019 году общий уровень собираемости, включая уплату текущих платежей и погашение задолженности, составил 91,2% с ростом к 2018 году на 8 процентных пунктов. </w:t>
      </w:r>
    </w:p>
    <w:p w:rsidR="00AB49F6" w:rsidRPr="00537D73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 w:rsidRPr="00537D73">
        <w:rPr>
          <w:color w:val="000000" w:themeColor="text1"/>
          <w:szCs w:val="28"/>
        </w:rPr>
        <w:t>Актуальным остается поддержание достигнутого уровня собираемости в текущем году и стимулирование его роста в среднесрочной перспективе.</w:t>
      </w:r>
      <w:r w:rsidRPr="00255161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255161">
        <w:rPr>
          <w:szCs w:val="28"/>
          <w:shd w:val="clear" w:color="auto" w:fill="FFFFFF" w:themeFill="background1"/>
        </w:rPr>
        <w:t>о итогам 2020 года планируется достичь показателя собираемости в 95%</w:t>
      </w:r>
      <w:r>
        <w:rPr>
          <w:szCs w:val="28"/>
          <w:shd w:val="clear" w:color="auto" w:fill="FFFFFF" w:themeFill="background1"/>
        </w:rPr>
        <w:t>.</w:t>
      </w:r>
    </w:p>
    <w:p w:rsidR="00AB49F6" w:rsidRPr="00537D73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 w:rsidRPr="00537D73">
        <w:rPr>
          <w:color w:val="000000" w:themeColor="text1"/>
          <w:szCs w:val="28"/>
        </w:rPr>
        <w:t xml:space="preserve">Для выполнения поставленной задачи необходима непрерывная разработка актуальных </w:t>
      </w:r>
      <w:proofErr w:type="spellStart"/>
      <w:r w:rsidRPr="00537D73">
        <w:rPr>
          <w:color w:val="000000" w:themeColor="text1"/>
          <w:szCs w:val="28"/>
        </w:rPr>
        <w:t>разноформатных</w:t>
      </w:r>
      <w:proofErr w:type="spellEnd"/>
      <w:r w:rsidRPr="00537D73">
        <w:rPr>
          <w:color w:val="000000" w:themeColor="text1"/>
          <w:szCs w:val="28"/>
        </w:rPr>
        <w:t xml:space="preserve"> информационных материалов, направленных на освещение всех сфер деятельности налоговых органов, ориентированных на взаимодействие с налогоплательщиками – физическими лицами. Расширение способов распространения информационных </w:t>
      </w:r>
      <w:proofErr w:type="gramStart"/>
      <w:r w:rsidRPr="00537D73">
        <w:rPr>
          <w:color w:val="000000" w:themeColor="text1"/>
          <w:szCs w:val="28"/>
        </w:rPr>
        <w:t>материалов</w:t>
      </w:r>
      <w:proofErr w:type="gramEnd"/>
      <w:r w:rsidRPr="00537D73">
        <w:rPr>
          <w:color w:val="000000" w:themeColor="text1"/>
          <w:szCs w:val="28"/>
        </w:rPr>
        <w:t xml:space="preserve"> за счет привлечения организаций имеющих большую проходимость (кредитные организации, больницы, МФЦ и т.д.) обеспечит увеличение охвата граждан, осведомленных о сроке и порядке исполнения налоговых обязательств, о правах налогоплательщиков и новшествах в сфере налогообложения. </w:t>
      </w:r>
    </w:p>
    <w:p w:rsidR="00AB49F6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 w:rsidRPr="00537D73">
        <w:rPr>
          <w:color w:val="000000" w:themeColor="text1"/>
          <w:szCs w:val="28"/>
        </w:rPr>
        <w:t xml:space="preserve">В 2021 года запланировано создание автомобильного бизнес-маршрута  «Финансово грамотная Тувы», </w:t>
      </w:r>
      <w:proofErr w:type="gramStart"/>
      <w:r w:rsidRPr="00537D73">
        <w:rPr>
          <w:color w:val="000000" w:themeColor="text1"/>
          <w:szCs w:val="28"/>
        </w:rPr>
        <w:t>который</w:t>
      </w:r>
      <w:proofErr w:type="gramEnd"/>
      <w:r w:rsidRPr="00537D73">
        <w:rPr>
          <w:color w:val="000000" w:themeColor="text1"/>
          <w:szCs w:val="28"/>
        </w:rPr>
        <w:t xml:space="preserve"> позволит гражданам</w:t>
      </w:r>
      <w:r>
        <w:rPr>
          <w:color w:val="000000" w:themeColor="text1"/>
          <w:szCs w:val="28"/>
        </w:rPr>
        <w:t>,</w:t>
      </w:r>
      <w:r w:rsidRPr="00537D73">
        <w:rPr>
          <w:color w:val="000000" w:themeColor="text1"/>
          <w:szCs w:val="28"/>
        </w:rPr>
        <w:t xml:space="preserve"> в отдаленных населенных</w:t>
      </w:r>
      <w:r>
        <w:rPr>
          <w:color w:val="000000" w:themeColor="text1"/>
          <w:szCs w:val="28"/>
        </w:rPr>
        <w:t xml:space="preserve"> пунктах республики</w:t>
      </w:r>
      <w:r w:rsidRPr="00537D73">
        <w:rPr>
          <w:color w:val="000000" w:themeColor="text1"/>
          <w:szCs w:val="28"/>
        </w:rPr>
        <w:t xml:space="preserve"> не имеющих банковск</w:t>
      </w:r>
      <w:r>
        <w:rPr>
          <w:color w:val="000000" w:themeColor="text1"/>
          <w:szCs w:val="28"/>
        </w:rPr>
        <w:t>ой</w:t>
      </w:r>
      <w:r w:rsidRPr="00537D73">
        <w:rPr>
          <w:color w:val="000000" w:themeColor="text1"/>
          <w:szCs w:val="28"/>
        </w:rPr>
        <w:t xml:space="preserve"> инфраструктур</w:t>
      </w:r>
      <w:r>
        <w:rPr>
          <w:color w:val="000000" w:themeColor="text1"/>
          <w:szCs w:val="28"/>
        </w:rPr>
        <w:t>ы,</w:t>
      </w:r>
      <w:r w:rsidRPr="00537D73">
        <w:rPr>
          <w:color w:val="000000" w:themeColor="text1"/>
          <w:szCs w:val="28"/>
        </w:rPr>
        <w:t xml:space="preserve"> своевременно платить налоги</w:t>
      </w:r>
      <w:r>
        <w:rPr>
          <w:color w:val="000000" w:themeColor="text1"/>
          <w:szCs w:val="28"/>
        </w:rPr>
        <w:t>, получать консультации и разъяснения по ведению бизнеса, а также регистрироваться в качестве «</w:t>
      </w:r>
      <w:proofErr w:type="spellStart"/>
      <w:r>
        <w:rPr>
          <w:color w:val="000000" w:themeColor="text1"/>
          <w:szCs w:val="28"/>
        </w:rPr>
        <w:t>самозанятых</w:t>
      </w:r>
      <w:proofErr w:type="spellEnd"/>
      <w:r>
        <w:rPr>
          <w:color w:val="000000" w:themeColor="text1"/>
          <w:szCs w:val="28"/>
        </w:rPr>
        <w:t>».</w:t>
      </w:r>
    </w:p>
    <w:p w:rsidR="00AB49F6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</w:p>
    <w:p w:rsidR="00AB49F6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 w:rsidRPr="006360AC">
        <w:rPr>
          <w:i/>
          <w:color w:val="000000" w:themeColor="text1"/>
          <w:szCs w:val="28"/>
        </w:rPr>
        <w:t xml:space="preserve">3. </w:t>
      </w:r>
      <w:r w:rsidRPr="00BD3767">
        <w:rPr>
          <w:b/>
          <w:i/>
          <w:color w:val="000000" w:themeColor="text1"/>
          <w:szCs w:val="28"/>
        </w:rPr>
        <w:t>Создание рабочих мест и борьба с нелегальной занятостью.</w:t>
      </w:r>
      <w:r>
        <w:rPr>
          <w:color w:val="000000" w:themeColor="text1"/>
          <w:szCs w:val="28"/>
        </w:rPr>
        <w:t xml:space="preserve"> Экономический спад, как правило, характеризуется резким снижением поступлений налога на прибыль и значительным снижением поступлений по налогу на доходы физических лиц (более – НДФЛ) при увеличении количества безработных. Такая тенденция по оценке Федеральной налоговой службы сохранялась в большинстве субъектов Российской Федерации с апреля по июль текущего года в период повсеместной самоизоляции граждан. </w:t>
      </w:r>
    </w:p>
    <w:p w:rsidR="00AB49F6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Учитывая бюджетную специфику республики, несмотря на увеличение количества безработных граждан более чем в 6 раз (</w:t>
      </w:r>
      <w:r w:rsidRPr="0070167E">
        <w:rPr>
          <w:i/>
          <w:color w:val="000000" w:themeColor="text1"/>
          <w:szCs w:val="28"/>
        </w:rPr>
        <w:t>на 01.10 2020 г. 28 тыс.</w:t>
      </w:r>
      <w:r>
        <w:rPr>
          <w:i/>
          <w:color w:val="000000" w:themeColor="text1"/>
          <w:szCs w:val="28"/>
        </w:rPr>
        <w:t xml:space="preserve"> </w:t>
      </w:r>
      <w:r w:rsidRPr="0070167E">
        <w:rPr>
          <w:i/>
          <w:color w:val="000000" w:themeColor="text1"/>
          <w:szCs w:val="28"/>
        </w:rPr>
        <w:t>граждан, на 01.01.2020 года 5 тыс.</w:t>
      </w:r>
      <w:r>
        <w:rPr>
          <w:i/>
          <w:color w:val="000000" w:themeColor="text1"/>
          <w:szCs w:val="28"/>
        </w:rPr>
        <w:t xml:space="preserve"> </w:t>
      </w:r>
      <w:r w:rsidRPr="0070167E">
        <w:rPr>
          <w:i/>
          <w:color w:val="000000" w:themeColor="text1"/>
          <w:szCs w:val="28"/>
        </w:rPr>
        <w:t>граждан</w:t>
      </w:r>
      <w:r>
        <w:rPr>
          <w:color w:val="000000" w:themeColor="text1"/>
          <w:szCs w:val="28"/>
        </w:rPr>
        <w:t xml:space="preserve">), количество рабочих мест не сократилось, а поступление НДФЛ имеет только положительную динамику. Таким образом, порядка 23 тыс. граждан имели нелегальный заработок до пандемии, в период которой отсутствие заработка и возможность получить от государства значительную социальную поддержку для безработных и их детей послужило толчком к росту безработицы. </w:t>
      </w:r>
    </w:p>
    <w:p w:rsidR="00AB49F6" w:rsidRDefault="00AB49F6" w:rsidP="00AB49F6">
      <w:pPr>
        <w:pStyle w:val="ac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Работа по созданию субъектов экономической деятельности, и официальному трудоустройству наших земляков будет продолжена. В </w:t>
      </w:r>
      <w:r>
        <w:rPr>
          <w:color w:val="000000" w:themeColor="text1"/>
          <w:szCs w:val="28"/>
        </w:rPr>
        <w:lastRenderedPageBreak/>
        <w:t>текущем году запланировано создание 15 рабочих мест в рамках индивидуальной программы, в 2022 году – 135, в 2023 году 302 рабочих места.</w:t>
      </w:r>
    </w:p>
    <w:p w:rsidR="00AB49F6" w:rsidRPr="00831E09" w:rsidRDefault="00AB49F6" w:rsidP="00AB49F6">
      <w:pPr>
        <w:pStyle w:val="a4"/>
        <w:ind w:left="0"/>
        <w:jc w:val="both"/>
        <w:textAlignment w:val="baseline"/>
        <w:rPr>
          <w:b/>
          <w:sz w:val="28"/>
          <w:szCs w:val="28"/>
          <w:lang w:eastAsia="ru-RU"/>
        </w:rPr>
      </w:pPr>
    </w:p>
    <w:p w:rsidR="00831E09" w:rsidRDefault="0015547A" w:rsidP="00831E09">
      <w:pPr>
        <w:pStyle w:val="a4"/>
        <w:numPr>
          <w:ilvl w:val="0"/>
          <w:numId w:val="3"/>
        </w:numPr>
        <w:ind w:left="0" w:firstLine="0"/>
        <w:jc w:val="center"/>
        <w:textAlignment w:val="baseline"/>
        <w:rPr>
          <w:b/>
          <w:sz w:val="28"/>
          <w:szCs w:val="28"/>
          <w:lang w:eastAsia="ru-RU"/>
        </w:rPr>
      </w:pPr>
      <w:r w:rsidRPr="00831E09">
        <w:rPr>
          <w:b/>
          <w:sz w:val="28"/>
          <w:szCs w:val="28"/>
          <w:lang w:eastAsia="ru-RU"/>
        </w:rPr>
        <w:t>Основные задачи и направления бюджетной политики</w:t>
      </w:r>
    </w:p>
    <w:p w:rsidR="0015547A" w:rsidRPr="00831E09" w:rsidRDefault="00831E09" w:rsidP="00831E09">
      <w:pPr>
        <w:pStyle w:val="a4"/>
        <w:ind w:left="0"/>
        <w:jc w:val="center"/>
        <w:textAlignment w:val="baseline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</w:t>
      </w:r>
      <w:r w:rsidR="007E2674" w:rsidRPr="00831E09">
        <w:rPr>
          <w:b/>
          <w:sz w:val="28"/>
          <w:szCs w:val="28"/>
          <w:lang w:eastAsia="ru-RU"/>
        </w:rPr>
        <w:t>на 20</w:t>
      </w:r>
      <w:r w:rsidR="00F41FE1">
        <w:rPr>
          <w:b/>
          <w:sz w:val="28"/>
          <w:szCs w:val="28"/>
          <w:lang w:eastAsia="ru-RU"/>
        </w:rPr>
        <w:t>21</w:t>
      </w:r>
      <w:r w:rsidR="0015547A" w:rsidRPr="00831E09">
        <w:rPr>
          <w:b/>
          <w:sz w:val="28"/>
          <w:szCs w:val="28"/>
          <w:lang w:eastAsia="ru-RU"/>
        </w:rPr>
        <w:t xml:space="preserve"> год и на плановый период 20</w:t>
      </w:r>
      <w:r w:rsidR="007E2674" w:rsidRPr="00831E09">
        <w:rPr>
          <w:b/>
          <w:sz w:val="28"/>
          <w:szCs w:val="28"/>
          <w:lang w:eastAsia="ru-RU"/>
        </w:rPr>
        <w:t>2</w:t>
      </w:r>
      <w:r w:rsidR="0067380B">
        <w:rPr>
          <w:b/>
          <w:sz w:val="28"/>
          <w:szCs w:val="28"/>
          <w:lang w:eastAsia="ru-RU"/>
        </w:rPr>
        <w:t>2</w:t>
      </w:r>
      <w:r w:rsidR="0015547A" w:rsidRPr="00831E09">
        <w:rPr>
          <w:b/>
          <w:sz w:val="28"/>
          <w:szCs w:val="28"/>
          <w:lang w:eastAsia="ru-RU"/>
        </w:rPr>
        <w:t xml:space="preserve"> и 202</w:t>
      </w:r>
      <w:r w:rsidR="0067380B">
        <w:rPr>
          <w:b/>
          <w:sz w:val="28"/>
          <w:szCs w:val="28"/>
          <w:lang w:eastAsia="ru-RU"/>
        </w:rPr>
        <w:t>3</w:t>
      </w:r>
      <w:r w:rsidR="0015547A" w:rsidRPr="00831E09">
        <w:rPr>
          <w:b/>
          <w:sz w:val="28"/>
          <w:szCs w:val="28"/>
          <w:lang w:eastAsia="ru-RU"/>
        </w:rPr>
        <w:t xml:space="preserve"> годов</w:t>
      </w:r>
    </w:p>
    <w:p w:rsidR="0015547A" w:rsidRPr="00E276A2" w:rsidRDefault="0015547A" w:rsidP="00E276A2">
      <w:pPr>
        <w:pStyle w:val="a4"/>
        <w:ind w:left="0" w:firstLine="709"/>
        <w:jc w:val="both"/>
        <w:textAlignment w:val="baseline"/>
        <w:rPr>
          <w:b/>
          <w:sz w:val="28"/>
          <w:szCs w:val="28"/>
          <w:lang w:eastAsia="ru-RU"/>
        </w:rPr>
      </w:pPr>
    </w:p>
    <w:p w:rsidR="00BD3767" w:rsidRDefault="0067380B" w:rsidP="00775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предстоящем трехлетнем периоде в  условиях реализации мер по борьбе с распространением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и необходимостью реализации первоочередных задач определены следующие о</w:t>
      </w:r>
      <w:r w:rsidR="00DE6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сновные направления</w:t>
      </w:r>
      <w:r w:rsidR="00BD3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политики Республики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ыва:</w:t>
      </w:r>
    </w:p>
    <w:p w:rsidR="00A057B7" w:rsidRDefault="00A057B7" w:rsidP="00A057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</w:t>
      </w:r>
      <w:r w:rsidR="00BD3767"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устойчивости и сбалансированности бюджетной системы Республики Тыва;</w:t>
      </w:r>
    </w:p>
    <w:p w:rsidR="00BD3767" w:rsidRPr="00A057B7" w:rsidRDefault="00A057B7" w:rsidP="00A057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отраслевой п</w:t>
      </w:r>
      <w:r w:rsidR="00BD3767"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риоритетност</w:t>
      </w: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D3767"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повышения</w:t>
      </w:r>
      <w:r w:rsidR="00BD3767"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их использования. </w:t>
      </w:r>
    </w:p>
    <w:p w:rsidR="00BD3767" w:rsidRDefault="00BD3767" w:rsidP="00775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767" w:rsidRPr="00BD3767" w:rsidRDefault="00BD3767" w:rsidP="00BD3767">
      <w:pPr>
        <w:pStyle w:val="a4"/>
        <w:numPr>
          <w:ilvl w:val="0"/>
          <w:numId w:val="15"/>
        </w:numPr>
        <w:ind w:left="0" w:firstLine="709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D3767">
        <w:rPr>
          <w:rFonts w:eastAsia="Times New Roman"/>
          <w:b/>
          <w:sz w:val="28"/>
          <w:szCs w:val="28"/>
          <w:lang w:eastAsia="ru-RU"/>
        </w:rPr>
        <w:t>Обеспечение устойчивости и сбалансированности бюджетной системы Республики Тыва</w:t>
      </w:r>
      <w:r>
        <w:rPr>
          <w:rFonts w:eastAsia="Times New Roman"/>
          <w:b/>
          <w:sz w:val="28"/>
          <w:szCs w:val="28"/>
          <w:lang w:eastAsia="ru-RU"/>
        </w:rPr>
        <w:t>.</w:t>
      </w:r>
    </w:p>
    <w:p w:rsidR="00AB49F6" w:rsidRPr="00DD09C8" w:rsidRDefault="00AB49F6" w:rsidP="00DD09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D376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обеспечения устойчивости и сбалансированности бюджетной системы</w:t>
      </w:r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Тыва бюджетная политика будет направлена </w:t>
      </w:r>
      <w:proofErr w:type="gramStart"/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B49F6" w:rsidRPr="00E276A2" w:rsidRDefault="00AB49F6" w:rsidP="00DD09C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приоритизацию</w:t>
      </w:r>
      <w:proofErr w:type="spellEnd"/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республиканского бюджета в целях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первоочередного исполнения принятых обязательств, в том числе концентрация финансовых ресурсов на достижении целей и результатов региональных проектов, направленных на реализацию национальных проектов и федеральных проектов, входящих в состав национальных проектов;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 дальнейшее развитие программно-целевых инструментов бюджетного планирования, дальнейшее внедрение механизмов проектного управления;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</w:t>
      </w:r>
      <w:proofErr w:type="gramStart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Программы оздоровления государственных финансов Республики</w:t>
      </w:r>
      <w:proofErr w:type="gramEnd"/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Тыва, в том числе </w:t>
      </w:r>
      <w:r w:rsidRPr="00E276A2">
        <w:rPr>
          <w:rFonts w:ascii="Times New Roman" w:hAnsi="Times New Roman" w:cs="Times New Roman"/>
          <w:sz w:val="28"/>
          <w:szCs w:val="28"/>
        </w:rPr>
        <w:t>проведение ответственной бюджетной политики, направленной на снижение рисков возникновения просроченной кредиторской задолженности республиканского бюджета Республики Тыва;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hAnsi="Times New Roman" w:cs="Times New Roman"/>
          <w:sz w:val="28"/>
          <w:szCs w:val="28"/>
        </w:rPr>
        <w:t xml:space="preserve">соблюдение бюджетно-финансовой дисциплины всеми главными распорядителями и получателями бюджетных средств, </w:t>
      </w: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практики проведения обзоров бюджетных расходов;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финансового контроля в управлении бюджетным процессом, в том числе внутреннего финансового контроля и внутреннего финансового аудита;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оптимизацию бюджетных расходов за счет повышения их эффективности в результате перераспределения средств на самые важные направления, снижения неэффективных затрат, применения системы нормирования закупок;</w:t>
      </w:r>
    </w:p>
    <w:p w:rsidR="00AB49F6" w:rsidRPr="00E276A2" w:rsidRDefault="00AB49F6" w:rsidP="00AB49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6A2">
        <w:rPr>
          <w:rFonts w:ascii="Times New Roman" w:hAnsi="Times New Roman" w:cs="Times New Roman"/>
          <w:sz w:val="28"/>
          <w:szCs w:val="28"/>
        </w:rPr>
        <w:t>совершенствование межбюджетного регулирования;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выполнение условий соглашений о реструктуризации долговых обязательств Республики Тыва перед Минфином России по бюджетным кредитам, полученным из федерального бюджета, сохранение объема государственного долга Республики Тыва на экономически безопасном уровне и сокращение расходов на обслуживание государственного долга Республики Тыва;</w:t>
      </w:r>
    </w:p>
    <w:p w:rsidR="00AB49F6" w:rsidRPr="00E276A2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принципов открытости и прозрачности управления государственными и муниципальными финансами, в том числе размещение и предоставление информации на едином портале бюджетной системы Российской Федерации;</w:t>
      </w:r>
    </w:p>
    <w:p w:rsidR="00AB49F6" w:rsidRDefault="00AB49F6" w:rsidP="00AB49F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6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механизма инициативного бюджетирования.</w:t>
      </w:r>
    </w:p>
    <w:p w:rsidR="00AB49F6" w:rsidRDefault="00AB49F6" w:rsidP="0077520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7B7" w:rsidRDefault="00BD3767" w:rsidP="00A057B7">
      <w:pPr>
        <w:pStyle w:val="a4"/>
        <w:numPr>
          <w:ilvl w:val="0"/>
          <w:numId w:val="15"/>
        </w:numPr>
        <w:ind w:left="0" w:firstLine="708"/>
        <w:jc w:val="both"/>
        <w:textAlignment w:val="baseline"/>
        <w:rPr>
          <w:rFonts w:eastAsia="Times New Roman"/>
          <w:b/>
          <w:sz w:val="28"/>
          <w:szCs w:val="28"/>
          <w:lang w:eastAsia="ru-RU"/>
        </w:rPr>
      </w:pPr>
      <w:r w:rsidRPr="00BD3767">
        <w:rPr>
          <w:rFonts w:eastAsia="Times New Roman"/>
          <w:b/>
          <w:sz w:val="28"/>
          <w:szCs w:val="28"/>
          <w:lang w:eastAsia="ru-RU"/>
        </w:rPr>
        <w:t>Приоритетность бюджетных расходов и повышение эффективности их использования.</w:t>
      </w:r>
    </w:p>
    <w:p w:rsidR="00A057B7" w:rsidRDefault="00A057B7" w:rsidP="00A057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снижения налоговой активности и реалистичной оценки прогноза поступлений собственных доходов на уровне 2019 года в целях минимизации возникновения дополнительных бюджетных рисков и разбалансировки бюджета Республики Тыва всем участникам бюджетного процесса  при планировании бюджетных расходов необходимо:</w:t>
      </w:r>
    </w:p>
    <w:p w:rsidR="00A057B7" w:rsidRPr="00A057B7" w:rsidRDefault="00A057B7" w:rsidP="00A057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-осуществить пересмотр отраслевых приоритетов, </w:t>
      </w:r>
      <w:proofErr w:type="gramStart"/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сконцентрировав бюджетные и управленческие ресурсы на решении задач экономического и социального развития Республики Тыва с безусловной</w:t>
      </w:r>
      <w:proofErr w:type="gramEnd"/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 национальных и региональных проектов;</w:t>
      </w:r>
    </w:p>
    <w:p w:rsidR="00A057B7" w:rsidRPr="00A057B7" w:rsidRDefault="00A057B7" w:rsidP="00A057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-рассматривать вопросы принятия новых расходных обязательств только при наличии финансовой поддержки федерального центра и источника </w:t>
      </w:r>
      <w:proofErr w:type="spellStart"/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A05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внутри действующих обязательств.</w:t>
      </w:r>
    </w:p>
    <w:p w:rsidR="00A057B7" w:rsidRDefault="00A057B7" w:rsidP="00DD09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64" w:rsidRPr="00DD09C8" w:rsidRDefault="00521E64" w:rsidP="00DD09C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</w:t>
      </w:r>
      <w:r w:rsid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расходов</w:t>
      </w:r>
      <w:r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E7E" w:rsidRPr="00DD0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производить исходя из отраслевой приоритетности расходных обязательств и акцентов по следующим направлениям.</w:t>
      </w:r>
    </w:p>
    <w:p w:rsidR="00614E7E" w:rsidRPr="00216CF6" w:rsidRDefault="00614E7E" w:rsidP="00614E7E">
      <w:pPr>
        <w:pStyle w:val="a4"/>
        <w:numPr>
          <w:ilvl w:val="0"/>
          <w:numId w:val="12"/>
        </w:numPr>
        <w:jc w:val="both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216CF6">
        <w:rPr>
          <w:rFonts w:eastAsia="Times New Roman"/>
          <w:b/>
          <w:i/>
          <w:sz w:val="28"/>
          <w:szCs w:val="28"/>
          <w:lang w:eastAsia="ru-RU"/>
        </w:rPr>
        <w:t>В социальной сфере.</w:t>
      </w:r>
    </w:p>
    <w:p w:rsidR="00614E7E" w:rsidRDefault="00614E7E" w:rsidP="00614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сохранению уровня доходов населения будет решаться путем формирования бюджетных ассигнований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4E7E" w:rsidRDefault="00614E7E" w:rsidP="00614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сохранением достигнутого соотношения между уровнем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 отдельных категорий работников бюджетной сферы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уровнем средней </w:t>
      </w:r>
      <w:r w:rsidR="00216C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платы в регионе;</w:t>
      </w:r>
    </w:p>
    <w:p w:rsidR="00216CF6" w:rsidRDefault="00216CF6" w:rsidP="00614E7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минимального размера оплаты труда работникам государственных и муниципальных учреждений до уровня прожиточного минимума</w:t>
      </w:r>
      <w:r w:rsidR="00141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установленного за 2 квартал предыдущего года в целом по России, районного коэффициента и северной надбавки. </w:t>
      </w:r>
      <w:r w:rsidR="00392CF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 д</w:t>
      </w:r>
      <w:r w:rsidR="00141BAD">
        <w:rPr>
          <w:rFonts w:ascii="Times New Roman" w:eastAsia="Times New Roman" w:hAnsi="Times New Roman" w:cs="Times New Roman"/>
          <w:sz w:val="28"/>
          <w:szCs w:val="28"/>
          <w:lang w:eastAsia="ru-RU"/>
        </w:rPr>
        <w:t>ля 15,3 тысяч работников бюджетного сектора Республики Тыва будет предус</w:t>
      </w:r>
      <w:r w:rsidR="00F034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мотрено порядка 300 млн. рублей;</w:t>
      </w:r>
    </w:p>
    <w:p w:rsidR="005E32E6" w:rsidRDefault="00F0349B" w:rsidP="005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индексация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 1 февраля 2021 года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социальных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выплаты гражданам на 3,8</w:t>
      </w:r>
      <w:r w:rsidRPr="003E3EF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%.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BC4505" w:rsidRPr="005E32E6" w:rsidRDefault="005E32E6" w:rsidP="005E3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5E32E6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lang w:eastAsia="ru-RU"/>
        </w:rPr>
        <w:t xml:space="preserve">2. </w:t>
      </w:r>
      <w:r w:rsidR="00BC4505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сфере межбюджетных отношений</w:t>
      </w:r>
      <w:r w:rsidR="00BC4505" w:rsidRPr="005E32E6">
        <w:rPr>
          <w:rFonts w:eastAsia="Times New Roman"/>
          <w:sz w:val="28"/>
          <w:szCs w:val="28"/>
          <w:lang w:eastAsia="ru-RU"/>
        </w:rPr>
        <w:t>.</w:t>
      </w:r>
    </w:p>
    <w:p w:rsidR="00BC4505" w:rsidRPr="00BC4505" w:rsidRDefault="00BC4505" w:rsidP="00A1171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межбюджетной политики в Республике Тыва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остается гарантированное финансовое </w:t>
      </w:r>
      <w:r w:rsidR="00A1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социально-значимых и приоритетных расходов, а также не снижение финансовых ресурсов местны</w:t>
      </w:r>
      <w:r w:rsidR="00204DC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бюджетов.</w:t>
      </w:r>
    </w:p>
    <w:p w:rsidR="00614E7E" w:rsidRDefault="00A1171B" w:rsidP="00A117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отменой с 2021 года системы налогообложения в виде единого налога на вмененный доход по отдельным видам деятельности, а также учитывая ожидаемый переход большинства налогоплательщиков на упрощенную систему налогообложения, взамен выпадающих доходов бюджетов муниципальных районов и городских округов переданы с 1 января 2021 года с республиканского уровня 100% норматива отчислений от налога, взимаемого в связи с применением упрощенной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налогообложения</w:t>
      </w:r>
      <w:r w:rsidR="00204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F95" w:rsidRDefault="007E6F95" w:rsidP="00A117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содействия сохранению сбалансированности местных бюджетов Республики Тыва необходимо продолжить проведение оценки качества организации бюджетного проц</w:t>
      </w:r>
      <w:r w:rsidR="00762F4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есса на местном уровне и мониторинга соблюдения муниципальными образованиями республики условий соглашений, заключаемых  с Министерством финансов Республики Тыва, предусматривающих показатели социально-экономического развития и оздоровления муниципальных финансов.</w:t>
      </w:r>
    </w:p>
    <w:p w:rsidR="00762F4F" w:rsidRDefault="00762F4F" w:rsidP="00A117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межбюджетных отношений в Республике Тыва планируется с учетом изменений федерального и регионального законодательства, регулирующего бюджетный процесс и межбюджетные отношения.</w:t>
      </w:r>
    </w:p>
    <w:p w:rsidR="005E32E6" w:rsidRDefault="005E32E6" w:rsidP="00A1171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CE" w:rsidRPr="005E32E6" w:rsidRDefault="005E32E6" w:rsidP="005E32E6">
      <w:pPr>
        <w:spacing w:after="0"/>
        <w:ind w:left="568"/>
        <w:jc w:val="both"/>
        <w:textAlignment w:val="baseline"/>
        <w:rPr>
          <w:rFonts w:eastAsia="Times New Roman"/>
          <w:b/>
          <w:i/>
          <w:sz w:val="28"/>
          <w:szCs w:val="28"/>
          <w:lang w:eastAsia="ru-RU"/>
        </w:rPr>
      </w:pPr>
      <w:r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204DCE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реальном секторе экономики</w:t>
      </w:r>
      <w:r w:rsidR="00204DCE" w:rsidRPr="005E32E6">
        <w:rPr>
          <w:rFonts w:eastAsia="Times New Roman"/>
          <w:b/>
          <w:i/>
          <w:sz w:val="28"/>
          <w:szCs w:val="28"/>
          <w:lang w:eastAsia="ru-RU"/>
        </w:rPr>
        <w:t>.</w:t>
      </w:r>
    </w:p>
    <w:p w:rsidR="00204DCE" w:rsidRDefault="00204DCE" w:rsidP="005E32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4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предстоящем периоде сохранится преемственность подходов к государственной поддержке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кризисными явлениями в экономике. В целях содействие разв</w:t>
      </w:r>
      <w:r w:rsidR="0041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итию бизнеса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сохраняться базовые условия предоставления бюджетных средств и прозрачность </w:t>
      </w:r>
      <w:r w:rsidR="0022533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поддержки.</w:t>
      </w:r>
    </w:p>
    <w:p w:rsidR="008764C5" w:rsidRDefault="00415361" w:rsidP="008764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году</w:t>
      </w:r>
      <w:r w:rsidR="0089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реализации </w:t>
      </w:r>
      <w:r w:rsidR="00891D78" w:rsidRPr="00596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развития </w:t>
      </w:r>
      <w:r w:rsidR="00891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до </w:t>
      </w:r>
      <w:r w:rsidR="00891D78" w:rsidRPr="00596D2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планируется начать производство по переработке леса, дикоросов, шерсти, увеличить производство</w:t>
      </w:r>
      <w:r w:rsidR="008764C5" w:rsidRP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кирпича и железобетонных изделий</w:t>
      </w:r>
      <w:r w:rsid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4C5" w:rsidRP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продолжить строительство оздоровительных</w:t>
      </w:r>
      <w:r w:rsidR="008764C5" w:rsidRP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</w:t>
      </w:r>
      <w:r w:rsid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764C5" w:rsidRPr="00E71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«Чедер»</w:t>
      </w:r>
      <w:r w:rsidR="00876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«Марал Тува».</w:t>
      </w:r>
    </w:p>
    <w:p w:rsidR="002F080B" w:rsidRDefault="00436F1A" w:rsidP="00436F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Тыва 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уже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 решения развития территории с использованием механизма концессий и государственно-частного партнерства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реализуемые проекты по строительству</w:t>
      </w:r>
      <w:r w:rsidR="00415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школ, 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пристроек к детским садам, </w:t>
      </w:r>
      <w:r w:rsidR="004153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 единоборств в г. Чадане и др.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389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</w:t>
      </w:r>
      <w:r w:rsidR="0091389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количества реализуемых государственно-частных</w:t>
      </w:r>
      <w:r w:rsidR="0091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53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проектов,</w:t>
      </w:r>
      <w:r w:rsidR="00913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привлечь инвестиции для решения задач бюджетной сферы</w:t>
      </w:r>
      <w:r w:rsidR="002F080B" w:rsidRPr="002F0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080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важных задач для республики.</w:t>
      </w:r>
      <w:proofErr w:type="gramEnd"/>
    </w:p>
    <w:p w:rsidR="00493637" w:rsidRDefault="00C056D8" w:rsidP="004936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стимулирования развития промышленности на территории республики необходимо продолжить работу по 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Индустриального парка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наполнени</w:t>
      </w:r>
      <w:r w:rsidR="00AA182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предприятиями-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резидентами. Поддержка проектов в виде подключения производственных мощностей к инфраструктуре (электро-тепло-газоснабжение) позволит получать 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рентабельност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производственных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AE7D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дальнейшем 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 о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>тдач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93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налоговых поступлений в консолидированный бюджет Республики Тыва</w:t>
      </w:r>
      <w:r w:rsidR="004D68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увеличения вклада малого и среднего предпринимательства, </w:t>
      </w:r>
      <w:r w:rsidRPr="00DA2FE6">
        <w:rPr>
          <w:rFonts w:ascii="Times New Roman" w:hAnsi="Times New Roman" w:cs="Times New Roman"/>
          <w:sz w:val="28"/>
          <w:szCs w:val="28"/>
        </w:rPr>
        <w:t>туризма</w:t>
      </w:r>
      <w:r>
        <w:rPr>
          <w:rFonts w:ascii="Times New Roman" w:hAnsi="Times New Roman" w:cs="Times New Roman"/>
          <w:sz w:val="28"/>
          <w:szCs w:val="28"/>
        </w:rPr>
        <w:t xml:space="preserve"> в налоговый потенциал республики, а также  оказания мер поддержки финансового и нефинансового характера предпринимательскому сообществу необходимо максимально задействовать функционал фонда поддержки предпринимательства, продолжить работу  по выявлению и снижению административных барьеров, мешающих развитию малого бизнеса и вовлечению частного капитала в экономику, предоставлению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</w:t>
      </w:r>
      <w:r w:rsidR="00433473">
        <w:rPr>
          <w:rFonts w:ascii="Times New Roman" w:hAnsi="Times New Roman" w:cs="Times New Roman"/>
          <w:sz w:val="28"/>
          <w:szCs w:val="28"/>
        </w:rPr>
        <w:t>крозаймов</w:t>
      </w:r>
      <w:proofErr w:type="spellEnd"/>
      <w:r w:rsidR="00433473">
        <w:rPr>
          <w:rFonts w:ascii="Times New Roman" w:hAnsi="Times New Roman" w:cs="Times New Roman"/>
          <w:sz w:val="28"/>
          <w:szCs w:val="28"/>
        </w:rPr>
        <w:t xml:space="preserve"> на льготных условиях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важных отраслей экономики Республики Тыва является сельское хозяйство. Не только потому, что сельское хозяйство обеспечивает продовольственную безопасность региона, но и потому, что в сельском хозяйстве занято более </w:t>
      </w:r>
      <w:r w:rsidRPr="00281F39">
        <w:rPr>
          <w:rFonts w:ascii="Times New Roman" w:hAnsi="Times New Roman" w:cs="Times New Roman"/>
          <w:sz w:val="28"/>
          <w:szCs w:val="28"/>
        </w:rPr>
        <w:t>трети населения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республики. Учитывая это, бюджетные ассигнования на поддержку сельского хозяйства традиционно остаются приоритетным направлением республиканского бюджета Республики Тыва, финансовое обеспечение которого осуществляется на паритетных началах с федеральным бюджетом.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трехлетнем периоде предстоит решить следующие ключевые задачи отрасли: повышение конкурентоспособности,  объемов производства и экспорта продукции сельского хозяйства, пищевой и перерабатывающей промышленности в Республике Тыва с целью обеспечения продовольственной безопасности республики.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следует в плановом периоде  сконцентрировать внимание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сельскохозяйственной переработке продукции с акцентом на полный цикл переработки, аграрных кластеров;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системы государственной компенсации по страховым услугам предприятиям аграрного сектора;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 льготного кредитования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 концентрации сельскохозяйственных животных, производства зерновых культур, размещения элеваторов и оптово-логистических центров, с дальнейшим выходом на экспорт;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активизировать работу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переработке шерсти и шкур (фабрика шерстяных изделий).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3473">
        <w:rPr>
          <w:rFonts w:ascii="Times New Roman" w:hAnsi="Times New Roman" w:cs="Times New Roman"/>
          <w:i/>
          <w:sz w:val="28"/>
          <w:szCs w:val="28"/>
        </w:rPr>
        <w:t>Задачами при планировании и осуществлении капитальных вложений за счет бюджетных инвестиций</w:t>
      </w:r>
      <w:r>
        <w:rPr>
          <w:rFonts w:ascii="Times New Roman" w:hAnsi="Times New Roman" w:cs="Times New Roman"/>
          <w:sz w:val="28"/>
          <w:szCs w:val="28"/>
        </w:rPr>
        <w:t xml:space="preserve"> на ближайшие три года являются: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комплексное развитие сельских территорий, направленное на повышение уровня жизни населения, решение вопросов занятости в сельском </w:t>
      </w:r>
      <w:r>
        <w:rPr>
          <w:rFonts w:ascii="Times New Roman" w:hAnsi="Times New Roman" w:cs="Times New Roman"/>
          <w:sz w:val="28"/>
          <w:szCs w:val="28"/>
        </w:rPr>
        <w:lastRenderedPageBreak/>
        <w:t>хозяйстве, развитие малого и среднего предпринимательства на селе, повышение инвестиционной привлекательности сельских территорий;</w:t>
      </w:r>
    </w:p>
    <w:p w:rsidR="00EE2169" w:rsidRDefault="00EE2169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выполнение обязательств по строительству социальных объектов,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средств федерального бюджета;</w:t>
      </w:r>
    </w:p>
    <w:p w:rsidR="00EE2169" w:rsidRDefault="00433473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E2169">
        <w:rPr>
          <w:rFonts w:ascii="Times New Roman" w:hAnsi="Times New Roman" w:cs="Times New Roman"/>
          <w:sz w:val="28"/>
          <w:szCs w:val="28"/>
        </w:rPr>
        <w:t xml:space="preserve">  содействие развитию 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33473" w:rsidRDefault="00433473" w:rsidP="00EE2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завершение строительства начатых объектов.</w:t>
      </w:r>
    </w:p>
    <w:p w:rsidR="00AA1825" w:rsidRDefault="00AA1825" w:rsidP="00AA1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3473">
        <w:rPr>
          <w:rFonts w:ascii="Times New Roman" w:hAnsi="Times New Roman" w:cs="Times New Roman"/>
          <w:i/>
          <w:sz w:val="28"/>
          <w:szCs w:val="28"/>
        </w:rPr>
        <w:t>Задачами в сфере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определены:</w:t>
      </w:r>
      <w:proofErr w:type="gramEnd"/>
    </w:p>
    <w:p w:rsidR="00AA1825" w:rsidRDefault="00891D78" w:rsidP="00AA1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473">
        <w:rPr>
          <w:rFonts w:ascii="Times New Roman" w:hAnsi="Times New Roman" w:cs="Times New Roman"/>
          <w:sz w:val="28"/>
          <w:szCs w:val="28"/>
        </w:rPr>
        <w:t xml:space="preserve"> </w:t>
      </w:r>
      <w:r w:rsidR="00AA1825">
        <w:rPr>
          <w:rFonts w:ascii="Times New Roman" w:hAnsi="Times New Roman" w:cs="Times New Roman"/>
          <w:sz w:val="28"/>
          <w:szCs w:val="28"/>
        </w:rPr>
        <w:t>решение проблемы утилизации твердых бытовых отходов;</w:t>
      </w:r>
    </w:p>
    <w:p w:rsidR="00AA1825" w:rsidRDefault="00891D78" w:rsidP="00AA1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473">
        <w:rPr>
          <w:rFonts w:ascii="Times New Roman" w:hAnsi="Times New Roman" w:cs="Times New Roman"/>
          <w:sz w:val="28"/>
          <w:szCs w:val="28"/>
        </w:rPr>
        <w:t xml:space="preserve"> </w:t>
      </w:r>
      <w:r w:rsidR="00AA1825">
        <w:rPr>
          <w:rFonts w:ascii="Times New Roman" w:hAnsi="Times New Roman" w:cs="Times New Roman"/>
          <w:sz w:val="28"/>
          <w:szCs w:val="28"/>
        </w:rPr>
        <w:t>расселение граждан из ветхого и аварийного жилья, выполнение программы капитального ремонта жилищного фонда;</w:t>
      </w:r>
    </w:p>
    <w:p w:rsidR="00AA1825" w:rsidRDefault="00891D78" w:rsidP="00AA1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33473">
        <w:rPr>
          <w:rFonts w:ascii="Times New Roman" w:hAnsi="Times New Roman" w:cs="Times New Roman"/>
          <w:sz w:val="28"/>
          <w:szCs w:val="28"/>
        </w:rPr>
        <w:t xml:space="preserve"> </w:t>
      </w:r>
      <w:r w:rsidR="00AA1825">
        <w:rPr>
          <w:rFonts w:ascii="Times New Roman" w:hAnsi="Times New Roman" w:cs="Times New Roman"/>
          <w:sz w:val="28"/>
          <w:szCs w:val="28"/>
        </w:rPr>
        <w:t>обеспечение население Республики Тыва чистой водой.</w:t>
      </w:r>
    </w:p>
    <w:p w:rsidR="00AA1825" w:rsidRDefault="00AA1825" w:rsidP="00AA18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дорожного фонда Республики Тыва </w:t>
      </w:r>
      <w:r w:rsidRPr="00B14425">
        <w:rPr>
          <w:rFonts w:ascii="Times New Roman" w:hAnsi="Times New Roman" w:cs="Times New Roman"/>
          <w:sz w:val="28"/>
          <w:szCs w:val="28"/>
        </w:rPr>
        <w:t>осуществляется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дорог.</w:t>
      </w:r>
    </w:p>
    <w:p w:rsidR="004E5268" w:rsidRDefault="004E5268" w:rsidP="005E32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268" w:rsidRPr="005E32E6" w:rsidRDefault="005E32E6" w:rsidP="005E32E6">
      <w:pPr>
        <w:spacing w:after="0" w:line="240" w:lineRule="auto"/>
        <w:ind w:left="56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4. </w:t>
      </w:r>
      <w:r w:rsidR="000B7D3D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 сфере </w:t>
      </w:r>
      <w:r w:rsidR="007F2E67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государственного управления.</w:t>
      </w:r>
    </w:p>
    <w:p w:rsidR="007F2E67" w:rsidRDefault="007F2E67" w:rsidP="005E32E6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и осуществлении расходов на содержание и обеспечение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государственной власти необходимо:</w:t>
      </w:r>
    </w:p>
    <w:p w:rsidR="007F2E67" w:rsidRDefault="007F2E67" w:rsidP="007F2E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норматива, установленного на федеральном уровне;</w:t>
      </w:r>
    </w:p>
    <w:p w:rsidR="007F2E67" w:rsidRDefault="007F2E67" w:rsidP="007F2E67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возрастающего блока задач, поставленных перед  органами государственной власти, сохранить эффективность их работы в рамках действующей численности.</w:t>
      </w:r>
    </w:p>
    <w:p w:rsidR="007F2E67" w:rsidRDefault="007F2E67" w:rsidP="00C3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расходов органов местного самоуправления утвержден финансовый норматив формирования расходов на содержание органов местного самоуправления муниципальных образований Республики Тыва. </w:t>
      </w:r>
      <w:r w:rsidR="00ED6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остается контроль соблюдения органами местного самоуправления  всех уровней указанных нормативов,  методологическое сопровождение</w:t>
      </w:r>
      <w:r w:rsidR="00ED6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 формирования и исполнения расходов на содержание органов местного самоуправления.</w:t>
      </w:r>
    </w:p>
    <w:p w:rsidR="005E32E6" w:rsidRDefault="005E32E6" w:rsidP="00C340CE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E5268" w:rsidRPr="005E32E6" w:rsidRDefault="005E32E6" w:rsidP="0067380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67380B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975B58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Приоритизация расходов и повышение</w:t>
      </w:r>
      <w:r w:rsidR="00CC1488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эффективности </w:t>
      </w:r>
      <w:r w:rsidR="00BD3767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использования бюджетных средств</w:t>
      </w:r>
      <w:r w:rsidR="00CC1488" w:rsidRPr="005E32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C1488" w:rsidRDefault="00C340CE" w:rsidP="0067380B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условиях ограниченности бюджетных ресурсов возрастает актуальность реализации мер  по повышению эффективности использования бюджетных средств </w:t>
      </w:r>
      <w:proofErr w:type="gramStart"/>
      <w:r>
        <w:rPr>
          <w:rFonts w:eastAsia="Times New Roman"/>
          <w:sz w:val="28"/>
          <w:szCs w:val="28"/>
          <w:lang w:eastAsia="ru-RU"/>
        </w:rPr>
        <w:t>на</w:t>
      </w:r>
      <w:proofErr w:type="gramEnd"/>
      <w:r>
        <w:rPr>
          <w:rFonts w:eastAsia="Times New Roman"/>
          <w:sz w:val="28"/>
          <w:szCs w:val="28"/>
          <w:lang w:eastAsia="ru-RU"/>
        </w:rPr>
        <w:t>:</w:t>
      </w:r>
    </w:p>
    <w:p w:rsidR="00C340CE" w:rsidRDefault="00C340CE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обеспечение режима экономного и рационального использования бюджетных средств;</w:t>
      </w:r>
    </w:p>
    <w:p w:rsidR="00C340CE" w:rsidRDefault="00C340CE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повышение качества оказания государственных услуг (выполнения работ);</w:t>
      </w:r>
    </w:p>
    <w:p w:rsidR="00C340CE" w:rsidRDefault="00C340CE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повышение эффективности использования ресурсов при закупках товаров и услуг для государственных нужд для получения экономии средств по итогам торгов и направления на неотложные первоочередные расходы бюджета; </w:t>
      </w:r>
    </w:p>
    <w:p w:rsidR="00C340CE" w:rsidRDefault="0066134C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снижение рисков возникновения просроченной кредиторской задолженности;</w:t>
      </w:r>
    </w:p>
    <w:p w:rsidR="0066134C" w:rsidRDefault="0066134C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недопущение принятия новых расходных обязательств, не обеспеченных стабильными доходными источниками;</w:t>
      </w:r>
    </w:p>
    <w:p w:rsidR="0066134C" w:rsidRDefault="0066134C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перераспределение средств на новые приоритеты, </w:t>
      </w:r>
      <w:proofErr w:type="gramStart"/>
      <w:r>
        <w:rPr>
          <w:rFonts w:eastAsia="Times New Roman"/>
          <w:sz w:val="28"/>
          <w:szCs w:val="28"/>
          <w:lang w:eastAsia="ru-RU"/>
        </w:rPr>
        <w:t>на затрагивая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первоочередные обязательства.</w:t>
      </w:r>
    </w:p>
    <w:p w:rsidR="0066134C" w:rsidRDefault="0066134C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Комплексный подход к разработке стратегических решений, реализация которых позволит стабилизировать экономику в условиях кризиса, позволяет обеспечить эффективное распределение ресурсов, выбрать правильные направления развития.</w:t>
      </w:r>
    </w:p>
    <w:p w:rsidR="00C340CE" w:rsidRPr="00CC1488" w:rsidRDefault="00C340CE" w:rsidP="00C340CE">
      <w:pPr>
        <w:pStyle w:val="a4"/>
        <w:ind w:left="0" w:firstLine="709"/>
        <w:jc w:val="both"/>
        <w:textAlignment w:val="baseline"/>
        <w:rPr>
          <w:rFonts w:eastAsia="Times New Roman"/>
          <w:sz w:val="28"/>
          <w:szCs w:val="28"/>
          <w:lang w:eastAsia="ru-RU"/>
        </w:rPr>
      </w:pPr>
    </w:p>
    <w:sectPr w:rsidR="00C340CE" w:rsidRPr="00CC1488" w:rsidSect="00A057B7">
      <w:headerReference w:type="default" r:id="rId10"/>
      <w:footerReference w:type="default" r:id="rId11"/>
      <w:pgSz w:w="11906" w:h="16838"/>
      <w:pgMar w:top="1134" w:right="850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4B4" w:rsidRDefault="00CE64B4" w:rsidP="00A952C4">
      <w:pPr>
        <w:spacing w:after="0" w:line="240" w:lineRule="auto"/>
      </w:pPr>
      <w:r>
        <w:separator/>
      </w:r>
    </w:p>
  </w:endnote>
  <w:endnote w:type="continuationSeparator" w:id="0">
    <w:p w:rsidR="00CE64B4" w:rsidRDefault="00CE64B4" w:rsidP="00A95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9529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47818" w:rsidRPr="001C7CEB" w:rsidRDefault="00347818">
        <w:pPr>
          <w:pStyle w:val="aa"/>
          <w:jc w:val="right"/>
          <w:rPr>
            <w:rFonts w:ascii="Times New Roman" w:hAnsi="Times New Roman" w:cs="Times New Roman"/>
          </w:rPr>
        </w:pPr>
        <w:r w:rsidRPr="001C7CEB">
          <w:rPr>
            <w:rFonts w:ascii="Times New Roman" w:hAnsi="Times New Roman" w:cs="Times New Roman"/>
          </w:rPr>
          <w:fldChar w:fldCharType="begin"/>
        </w:r>
        <w:r w:rsidRPr="001C7CEB">
          <w:rPr>
            <w:rFonts w:ascii="Times New Roman" w:hAnsi="Times New Roman" w:cs="Times New Roman"/>
          </w:rPr>
          <w:instrText>PAGE   \* MERGEFORMAT</w:instrText>
        </w:r>
        <w:r w:rsidRPr="001C7CEB">
          <w:rPr>
            <w:rFonts w:ascii="Times New Roman" w:hAnsi="Times New Roman" w:cs="Times New Roman"/>
          </w:rPr>
          <w:fldChar w:fldCharType="separate"/>
        </w:r>
        <w:r w:rsidR="005E32E6">
          <w:rPr>
            <w:rFonts w:ascii="Times New Roman" w:hAnsi="Times New Roman" w:cs="Times New Roman"/>
            <w:noProof/>
          </w:rPr>
          <w:t>17</w:t>
        </w:r>
        <w:r w:rsidRPr="001C7CE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4B4" w:rsidRDefault="00CE64B4" w:rsidP="00A952C4">
      <w:pPr>
        <w:spacing w:after="0" w:line="240" w:lineRule="auto"/>
      </w:pPr>
      <w:r>
        <w:separator/>
      </w:r>
    </w:p>
  </w:footnote>
  <w:footnote w:type="continuationSeparator" w:id="0">
    <w:p w:rsidR="00CE64B4" w:rsidRDefault="00CE64B4" w:rsidP="00A95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horzAnchor="margin" w:tblpY="-210"/>
      <w:tblW w:w="9889" w:type="dxa"/>
      <w:tblLook w:val="04A0" w:firstRow="1" w:lastRow="0" w:firstColumn="1" w:lastColumn="0" w:noHBand="0" w:noVBand="1"/>
    </w:tblPr>
    <w:tblGrid>
      <w:gridCol w:w="1101"/>
      <w:gridCol w:w="8788"/>
    </w:tblGrid>
    <w:tr w:rsidR="00347818" w:rsidRPr="00C22CD6" w:rsidTr="001C7CEB">
      <w:trPr>
        <w:cantSplit/>
        <w:trHeight w:val="661"/>
      </w:trPr>
      <w:tc>
        <w:tcPr>
          <w:tcW w:w="1101" w:type="dxa"/>
        </w:tcPr>
        <w:p w:rsidR="00347818" w:rsidRPr="00C22CD6" w:rsidRDefault="00347818" w:rsidP="00A952C4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1F497D" w:themeColor="text2"/>
              <w:sz w:val="24"/>
              <w:szCs w:val="24"/>
              <w:lang w:eastAsia="ru-RU"/>
            </w:rPr>
          </w:pPr>
          <w:r w:rsidRPr="00C22CD6">
            <w:rPr>
              <w:rFonts w:ascii="Times New Roman" w:eastAsia="Times New Roman" w:hAnsi="Times New Roman" w:cs="Times New Roman"/>
              <w:b/>
              <w:noProof/>
              <w:sz w:val="32"/>
              <w:szCs w:val="20"/>
              <w:lang w:eastAsia="ru-RU"/>
            </w:rPr>
            <w:drawing>
              <wp:inline distT="0" distB="0" distL="0" distR="0" wp14:anchorId="2112B9A7" wp14:editId="6668EF4B">
                <wp:extent cx="487939" cy="466725"/>
                <wp:effectExtent l="0" t="0" r="7620" b="0"/>
                <wp:docPr id="7" name="Рисунок 7" descr="O:\информ технологий\_Общая папка отдела\Logo Minfin\Logo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информ технологий\_Общая папка отдела\Logo Minfin\Logo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949" cy="4753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8" w:type="dxa"/>
          <w:shd w:val="clear" w:color="auto" w:fill="auto"/>
        </w:tcPr>
        <w:p w:rsidR="00347818" w:rsidRPr="001C7CEB" w:rsidRDefault="00347818" w:rsidP="001C7CEB">
          <w:pPr>
            <w:tabs>
              <w:tab w:val="left" w:pos="675"/>
              <w:tab w:val="center" w:pos="4677"/>
              <w:tab w:val="right" w:pos="8572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</w:pP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Основные направления бюджетной и налоговой политики Республики Тыва</w:t>
          </w:r>
        </w:p>
        <w:p w:rsidR="00347818" w:rsidRPr="001C7CEB" w:rsidRDefault="00347818" w:rsidP="00F460F1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70C0"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на 202</w:t>
          </w:r>
          <w:r w:rsidR="00F460F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1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год и на плановый период 202</w:t>
          </w:r>
          <w:r w:rsidR="00F460F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2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и 202</w:t>
          </w:r>
          <w:r w:rsidR="00F460F1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>3</w:t>
          </w:r>
          <w:r w:rsidRPr="001C7CEB">
            <w:rPr>
              <w:rFonts w:ascii="Times New Roman" w:eastAsia="Times New Roman" w:hAnsi="Times New Roman" w:cs="Times New Roman"/>
              <w:color w:val="365F91" w:themeColor="accent1" w:themeShade="BF"/>
              <w:sz w:val="24"/>
              <w:szCs w:val="24"/>
              <w:lang w:eastAsia="ru-RU"/>
            </w:rPr>
            <w:t xml:space="preserve"> годов</w:t>
          </w:r>
        </w:p>
      </w:tc>
    </w:tr>
  </w:tbl>
  <w:p w:rsidR="00347818" w:rsidRDefault="00347818" w:rsidP="001C7CEB">
    <w:pPr>
      <w:pStyle w:val="a8"/>
    </w:pPr>
  </w:p>
  <w:p w:rsidR="00347818" w:rsidRDefault="00347818" w:rsidP="001C7CEB">
    <w:pPr>
      <w:pStyle w:val="a8"/>
    </w:pPr>
  </w:p>
  <w:p w:rsidR="00347818" w:rsidRDefault="00347818" w:rsidP="001C7CEB">
    <w:pPr>
      <w:pStyle w:val="a8"/>
    </w:pPr>
  </w:p>
  <w:p w:rsidR="00347818" w:rsidRDefault="00347818" w:rsidP="001C7CE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06B"/>
    <w:multiLevelType w:val="hybridMultilevel"/>
    <w:tmpl w:val="256C0D64"/>
    <w:lvl w:ilvl="0" w:tplc="58ECB6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E599F"/>
    <w:multiLevelType w:val="hybridMultilevel"/>
    <w:tmpl w:val="044889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31EA"/>
    <w:multiLevelType w:val="multilevel"/>
    <w:tmpl w:val="BC3E1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1B74067"/>
    <w:multiLevelType w:val="hybridMultilevel"/>
    <w:tmpl w:val="0E3ED244"/>
    <w:lvl w:ilvl="0" w:tplc="5B1A739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A43352"/>
    <w:multiLevelType w:val="hybridMultilevel"/>
    <w:tmpl w:val="0248F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5F149CE"/>
    <w:multiLevelType w:val="hybridMultilevel"/>
    <w:tmpl w:val="5E348410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>
    <w:nsid w:val="30D649CF"/>
    <w:multiLevelType w:val="hybridMultilevel"/>
    <w:tmpl w:val="FB70C380"/>
    <w:lvl w:ilvl="0" w:tplc="834C64F6">
      <w:start w:val="2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>
    <w:nsid w:val="33EE6793"/>
    <w:multiLevelType w:val="hybridMultilevel"/>
    <w:tmpl w:val="25A0C338"/>
    <w:lvl w:ilvl="0" w:tplc="B4025E7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>
    <w:nsid w:val="40D147FA"/>
    <w:multiLevelType w:val="hybridMultilevel"/>
    <w:tmpl w:val="25269B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3F7779F"/>
    <w:multiLevelType w:val="multilevel"/>
    <w:tmpl w:val="B07E4F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0">
    <w:nsid w:val="57CA17BF"/>
    <w:multiLevelType w:val="hybridMultilevel"/>
    <w:tmpl w:val="6B8C5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3C5441"/>
    <w:multiLevelType w:val="hybridMultilevel"/>
    <w:tmpl w:val="2CB2F898"/>
    <w:lvl w:ilvl="0" w:tplc="8B7C8D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F43667F"/>
    <w:multiLevelType w:val="hybridMultilevel"/>
    <w:tmpl w:val="7054A40C"/>
    <w:lvl w:ilvl="0" w:tplc="79C86490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3">
    <w:nsid w:val="73FD78A5"/>
    <w:multiLevelType w:val="hybridMultilevel"/>
    <w:tmpl w:val="E698F9E2"/>
    <w:lvl w:ilvl="0" w:tplc="BAC82C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2"/>
  </w:num>
  <w:num w:numId="5">
    <w:abstractNumId w:val="14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13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7A"/>
    <w:rsid w:val="00011666"/>
    <w:rsid w:val="00011FE2"/>
    <w:rsid w:val="00051284"/>
    <w:rsid w:val="000517B6"/>
    <w:rsid w:val="000519D7"/>
    <w:rsid w:val="00055E23"/>
    <w:rsid w:val="00055F0F"/>
    <w:rsid w:val="0005776B"/>
    <w:rsid w:val="00067ADC"/>
    <w:rsid w:val="00086198"/>
    <w:rsid w:val="0008798C"/>
    <w:rsid w:val="00094FED"/>
    <w:rsid w:val="0009579F"/>
    <w:rsid w:val="00095E80"/>
    <w:rsid w:val="00096C21"/>
    <w:rsid w:val="000B4D12"/>
    <w:rsid w:val="000B4DA9"/>
    <w:rsid w:val="000B7AA4"/>
    <w:rsid w:val="000B7D3D"/>
    <w:rsid w:val="000C1330"/>
    <w:rsid w:val="000D1DD6"/>
    <w:rsid w:val="000D5928"/>
    <w:rsid w:val="000D59E8"/>
    <w:rsid w:val="000E7560"/>
    <w:rsid w:val="000F315F"/>
    <w:rsid w:val="000F504F"/>
    <w:rsid w:val="000F5515"/>
    <w:rsid w:val="000F56D2"/>
    <w:rsid w:val="000F7975"/>
    <w:rsid w:val="0010307D"/>
    <w:rsid w:val="0010537B"/>
    <w:rsid w:val="00110060"/>
    <w:rsid w:val="0012238E"/>
    <w:rsid w:val="001266D7"/>
    <w:rsid w:val="00127618"/>
    <w:rsid w:val="0013069A"/>
    <w:rsid w:val="0013186A"/>
    <w:rsid w:val="00134BB8"/>
    <w:rsid w:val="00141BAD"/>
    <w:rsid w:val="0015300D"/>
    <w:rsid w:val="0015547A"/>
    <w:rsid w:val="00176816"/>
    <w:rsid w:val="00180CD2"/>
    <w:rsid w:val="00181B29"/>
    <w:rsid w:val="00181D59"/>
    <w:rsid w:val="00187C4F"/>
    <w:rsid w:val="00194184"/>
    <w:rsid w:val="00196221"/>
    <w:rsid w:val="001A77D7"/>
    <w:rsid w:val="001A7F80"/>
    <w:rsid w:val="001B1A5C"/>
    <w:rsid w:val="001B4972"/>
    <w:rsid w:val="001B4A45"/>
    <w:rsid w:val="001C2EE9"/>
    <w:rsid w:val="001C376A"/>
    <w:rsid w:val="001C7CEB"/>
    <w:rsid w:val="001E0C9A"/>
    <w:rsid w:val="001F1E76"/>
    <w:rsid w:val="00203325"/>
    <w:rsid w:val="00204DCE"/>
    <w:rsid w:val="00213E09"/>
    <w:rsid w:val="002150F9"/>
    <w:rsid w:val="00216CF6"/>
    <w:rsid w:val="00222304"/>
    <w:rsid w:val="0022533C"/>
    <w:rsid w:val="00231A18"/>
    <w:rsid w:val="0024004D"/>
    <w:rsid w:val="00241316"/>
    <w:rsid w:val="0025403E"/>
    <w:rsid w:val="002551FF"/>
    <w:rsid w:val="002559DD"/>
    <w:rsid w:val="00267098"/>
    <w:rsid w:val="00267D27"/>
    <w:rsid w:val="002712C0"/>
    <w:rsid w:val="002818C9"/>
    <w:rsid w:val="00281F39"/>
    <w:rsid w:val="00283465"/>
    <w:rsid w:val="002838DD"/>
    <w:rsid w:val="00290212"/>
    <w:rsid w:val="00291421"/>
    <w:rsid w:val="00292351"/>
    <w:rsid w:val="002B3679"/>
    <w:rsid w:val="002C2933"/>
    <w:rsid w:val="002E0974"/>
    <w:rsid w:val="002F080B"/>
    <w:rsid w:val="002F283B"/>
    <w:rsid w:val="003058A7"/>
    <w:rsid w:val="00310D3F"/>
    <w:rsid w:val="003171EA"/>
    <w:rsid w:val="00337815"/>
    <w:rsid w:val="003407F8"/>
    <w:rsid w:val="00341A27"/>
    <w:rsid w:val="00342C6D"/>
    <w:rsid w:val="003452B7"/>
    <w:rsid w:val="00347818"/>
    <w:rsid w:val="003519FD"/>
    <w:rsid w:val="00354586"/>
    <w:rsid w:val="00356BAD"/>
    <w:rsid w:val="00361FB8"/>
    <w:rsid w:val="00362201"/>
    <w:rsid w:val="00371758"/>
    <w:rsid w:val="00392CFE"/>
    <w:rsid w:val="003C5C80"/>
    <w:rsid w:val="003D6265"/>
    <w:rsid w:val="00405998"/>
    <w:rsid w:val="00410D43"/>
    <w:rsid w:val="00415361"/>
    <w:rsid w:val="00415B77"/>
    <w:rsid w:val="004213D1"/>
    <w:rsid w:val="004247BA"/>
    <w:rsid w:val="00433473"/>
    <w:rsid w:val="00435016"/>
    <w:rsid w:val="00436F1A"/>
    <w:rsid w:val="00442D0C"/>
    <w:rsid w:val="0045219D"/>
    <w:rsid w:val="004529DD"/>
    <w:rsid w:val="004554AD"/>
    <w:rsid w:val="00457B43"/>
    <w:rsid w:val="00460925"/>
    <w:rsid w:val="00465B48"/>
    <w:rsid w:val="004678B0"/>
    <w:rsid w:val="0047541C"/>
    <w:rsid w:val="00493637"/>
    <w:rsid w:val="00497A50"/>
    <w:rsid w:val="004B0599"/>
    <w:rsid w:val="004B4A0D"/>
    <w:rsid w:val="004B694A"/>
    <w:rsid w:val="004C37BB"/>
    <w:rsid w:val="004C42B0"/>
    <w:rsid w:val="004C53D6"/>
    <w:rsid w:val="004D685F"/>
    <w:rsid w:val="004E1537"/>
    <w:rsid w:val="004E329A"/>
    <w:rsid w:val="004E5268"/>
    <w:rsid w:val="00502430"/>
    <w:rsid w:val="00504F0E"/>
    <w:rsid w:val="00511546"/>
    <w:rsid w:val="0051180B"/>
    <w:rsid w:val="0052057C"/>
    <w:rsid w:val="00521E64"/>
    <w:rsid w:val="00524B22"/>
    <w:rsid w:val="0053073C"/>
    <w:rsid w:val="0054398E"/>
    <w:rsid w:val="0054718A"/>
    <w:rsid w:val="00557284"/>
    <w:rsid w:val="005620B5"/>
    <w:rsid w:val="00562B39"/>
    <w:rsid w:val="00571A71"/>
    <w:rsid w:val="005809F1"/>
    <w:rsid w:val="00581843"/>
    <w:rsid w:val="00590F73"/>
    <w:rsid w:val="00592738"/>
    <w:rsid w:val="00593E2F"/>
    <w:rsid w:val="005C6D5F"/>
    <w:rsid w:val="005D0A54"/>
    <w:rsid w:val="005D323E"/>
    <w:rsid w:val="005D51AF"/>
    <w:rsid w:val="005E32E6"/>
    <w:rsid w:val="005E3D97"/>
    <w:rsid w:val="005E3FD0"/>
    <w:rsid w:val="00612A61"/>
    <w:rsid w:val="006131D6"/>
    <w:rsid w:val="0061381A"/>
    <w:rsid w:val="00614E0E"/>
    <w:rsid w:val="00614E7E"/>
    <w:rsid w:val="00623429"/>
    <w:rsid w:val="00623602"/>
    <w:rsid w:val="006243C6"/>
    <w:rsid w:val="00625774"/>
    <w:rsid w:val="00656259"/>
    <w:rsid w:val="006600EF"/>
    <w:rsid w:val="0066134C"/>
    <w:rsid w:val="00661AD6"/>
    <w:rsid w:val="0067380B"/>
    <w:rsid w:val="006754DD"/>
    <w:rsid w:val="0067706D"/>
    <w:rsid w:val="00677716"/>
    <w:rsid w:val="00691FCA"/>
    <w:rsid w:val="00693ED4"/>
    <w:rsid w:val="006A1D74"/>
    <w:rsid w:val="006E1224"/>
    <w:rsid w:val="006E15B6"/>
    <w:rsid w:val="006E57B5"/>
    <w:rsid w:val="006E6579"/>
    <w:rsid w:val="00703749"/>
    <w:rsid w:val="00707D46"/>
    <w:rsid w:val="007107EE"/>
    <w:rsid w:val="00720570"/>
    <w:rsid w:val="007305FE"/>
    <w:rsid w:val="00731DDB"/>
    <w:rsid w:val="007328FF"/>
    <w:rsid w:val="00741B09"/>
    <w:rsid w:val="00741D61"/>
    <w:rsid w:val="00744852"/>
    <w:rsid w:val="00751C30"/>
    <w:rsid w:val="00754C3D"/>
    <w:rsid w:val="00760E06"/>
    <w:rsid w:val="00762F4F"/>
    <w:rsid w:val="00764FE4"/>
    <w:rsid w:val="0077418E"/>
    <w:rsid w:val="00775200"/>
    <w:rsid w:val="00777071"/>
    <w:rsid w:val="00780EB1"/>
    <w:rsid w:val="00781A11"/>
    <w:rsid w:val="007902FF"/>
    <w:rsid w:val="007912E1"/>
    <w:rsid w:val="00792561"/>
    <w:rsid w:val="00792EC4"/>
    <w:rsid w:val="007948D7"/>
    <w:rsid w:val="00794D63"/>
    <w:rsid w:val="007A1C96"/>
    <w:rsid w:val="007B531E"/>
    <w:rsid w:val="007B539F"/>
    <w:rsid w:val="007B6C19"/>
    <w:rsid w:val="007C3887"/>
    <w:rsid w:val="007D305A"/>
    <w:rsid w:val="007D4FA4"/>
    <w:rsid w:val="007E07F5"/>
    <w:rsid w:val="007E2674"/>
    <w:rsid w:val="007E58D3"/>
    <w:rsid w:val="007E61D3"/>
    <w:rsid w:val="007E6F95"/>
    <w:rsid w:val="007F0465"/>
    <w:rsid w:val="007F2E67"/>
    <w:rsid w:val="007F5F92"/>
    <w:rsid w:val="00807F39"/>
    <w:rsid w:val="00816608"/>
    <w:rsid w:val="008168A6"/>
    <w:rsid w:val="00831E09"/>
    <w:rsid w:val="00844F2D"/>
    <w:rsid w:val="00851E3B"/>
    <w:rsid w:val="0085677E"/>
    <w:rsid w:val="00862F53"/>
    <w:rsid w:val="008633DA"/>
    <w:rsid w:val="0087538A"/>
    <w:rsid w:val="008764C5"/>
    <w:rsid w:val="00880800"/>
    <w:rsid w:val="00891D78"/>
    <w:rsid w:val="008969C2"/>
    <w:rsid w:val="008B4FFE"/>
    <w:rsid w:val="008C7451"/>
    <w:rsid w:val="008D1FF5"/>
    <w:rsid w:val="008E018D"/>
    <w:rsid w:val="008F085F"/>
    <w:rsid w:val="008F66B4"/>
    <w:rsid w:val="00901DBC"/>
    <w:rsid w:val="00907A4E"/>
    <w:rsid w:val="00907F6B"/>
    <w:rsid w:val="00912268"/>
    <w:rsid w:val="0091389E"/>
    <w:rsid w:val="00914364"/>
    <w:rsid w:val="0091793B"/>
    <w:rsid w:val="00933C7C"/>
    <w:rsid w:val="00934097"/>
    <w:rsid w:val="009363F2"/>
    <w:rsid w:val="0094077A"/>
    <w:rsid w:val="00944EE2"/>
    <w:rsid w:val="009475FA"/>
    <w:rsid w:val="00947E3B"/>
    <w:rsid w:val="00950246"/>
    <w:rsid w:val="0095100C"/>
    <w:rsid w:val="00956DF2"/>
    <w:rsid w:val="00963B43"/>
    <w:rsid w:val="0096584A"/>
    <w:rsid w:val="00975B58"/>
    <w:rsid w:val="009826F6"/>
    <w:rsid w:val="00993BF5"/>
    <w:rsid w:val="009A4693"/>
    <w:rsid w:val="009A5D75"/>
    <w:rsid w:val="009C0736"/>
    <w:rsid w:val="009C44DA"/>
    <w:rsid w:val="009C7FBD"/>
    <w:rsid w:val="009F372A"/>
    <w:rsid w:val="009F382B"/>
    <w:rsid w:val="009F3F02"/>
    <w:rsid w:val="00A057B7"/>
    <w:rsid w:val="00A07D53"/>
    <w:rsid w:val="00A1171B"/>
    <w:rsid w:val="00A31758"/>
    <w:rsid w:val="00A36673"/>
    <w:rsid w:val="00A4284F"/>
    <w:rsid w:val="00A442EE"/>
    <w:rsid w:val="00A514DD"/>
    <w:rsid w:val="00A554B6"/>
    <w:rsid w:val="00A56CB7"/>
    <w:rsid w:val="00A63DE4"/>
    <w:rsid w:val="00A679AF"/>
    <w:rsid w:val="00A73739"/>
    <w:rsid w:val="00A773A4"/>
    <w:rsid w:val="00A777FD"/>
    <w:rsid w:val="00A83F7D"/>
    <w:rsid w:val="00A952C4"/>
    <w:rsid w:val="00A9645C"/>
    <w:rsid w:val="00AA1825"/>
    <w:rsid w:val="00AB49F6"/>
    <w:rsid w:val="00AD0020"/>
    <w:rsid w:val="00AD689E"/>
    <w:rsid w:val="00AE192C"/>
    <w:rsid w:val="00AE3A1B"/>
    <w:rsid w:val="00AE7DBC"/>
    <w:rsid w:val="00AF498D"/>
    <w:rsid w:val="00AF4C7A"/>
    <w:rsid w:val="00B009D2"/>
    <w:rsid w:val="00B0244C"/>
    <w:rsid w:val="00B0497B"/>
    <w:rsid w:val="00B06DF6"/>
    <w:rsid w:val="00B141AB"/>
    <w:rsid w:val="00B14425"/>
    <w:rsid w:val="00B17AAC"/>
    <w:rsid w:val="00B243A8"/>
    <w:rsid w:val="00B27227"/>
    <w:rsid w:val="00B300F4"/>
    <w:rsid w:val="00B36BBF"/>
    <w:rsid w:val="00B44753"/>
    <w:rsid w:val="00B4481F"/>
    <w:rsid w:val="00B524FE"/>
    <w:rsid w:val="00B54CE9"/>
    <w:rsid w:val="00B60979"/>
    <w:rsid w:val="00B70817"/>
    <w:rsid w:val="00B75B7B"/>
    <w:rsid w:val="00B80A03"/>
    <w:rsid w:val="00B905CF"/>
    <w:rsid w:val="00B9166A"/>
    <w:rsid w:val="00B93FD4"/>
    <w:rsid w:val="00BA3342"/>
    <w:rsid w:val="00BA55D4"/>
    <w:rsid w:val="00BA77EB"/>
    <w:rsid w:val="00BB7ADF"/>
    <w:rsid w:val="00BC0CDE"/>
    <w:rsid w:val="00BC1BC8"/>
    <w:rsid w:val="00BC4505"/>
    <w:rsid w:val="00BD0263"/>
    <w:rsid w:val="00BD3767"/>
    <w:rsid w:val="00BE34E5"/>
    <w:rsid w:val="00BE39D4"/>
    <w:rsid w:val="00BF1352"/>
    <w:rsid w:val="00BF16D4"/>
    <w:rsid w:val="00BF2F5B"/>
    <w:rsid w:val="00C056D8"/>
    <w:rsid w:val="00C15B89"/>
    <w:rsid w:val="00C24D19"/>
    <w:rsid w:val="00C26398"/>
    <w:rsid w:val="00C31750"/>
    <w:rsid w:val="00C34007"/>
    <w:rsid w:val="00C340CE"/>
    <w:rsid w:val="00C62420"/>
    <w:rsid w:val="00C66A28"/>
    <w:rsid w:val="00C77454"/>
    <w:rsid w:val="00C94438"/>
    <w:rsid w:val="00CA1389"/>
    <w:rsid w:val="00CA7AEB"/>
    <w:rsid w:val="00CB2178"/>
    <w:rsid w:val="00CC1488"/>
    <w:rsid w:val="00CC6B63"/>
    <w:rsid w:val="00CD6FB5"/>
    <w:rsid w:val="00CE3B13"/>
    <w:rsid w:val="00CE4FB4"/>
    <w:rsid w:val="00CE64B4"/>
    <w:rsid w:val="00D05449"/>
    <w:rsid w:val="00D157D4"/>
    <w:rsid w:val="00D162B7"/>
    <w:rsid w:val="00D204EA"/>
    <w:rsid w:val="00D30B76"/>
    <w:rsid w:val="00D33300"/>
    <w:rsid w:val="00D379BD"/>
    <w:rsid w:val="00D47039"/>
    <w:rsid w:val="00D70DE2"/>
    <w:rsid w:val="00D92A30"/>
    <w:rsid w:val="00DA21C5"/>
    <w:rsid w:val="00DA2751"/>
    <w:rsid w:val="00DA2FE6"/>
    <w:rsid w:val="00DA355C"/>
    <w:rsid w:val="00DA56EC"/>
    <w:rsid w:val="00DC1CC1"/>
    <w:rsid w:val="00DC5082"/>
    <w:rsid w:val="00DC563D"/>
    <w:rsid w:val="00DC7531"/>
    <w:rsid w:val="00DC7981"/>
    <w:rsid w:val="00DD09C8"/>
    <w:rsid w:val="00DD0C7E"/>
    <w:rsid w:val="00DD1EF8"/>
    <w:rsid w:val="00DE332B"/>
    <w:rsid w:val="00DE6678"/>
    <w:rsid w:val="00DF415B"/>
    <w:rsid w:val="00E01E8C"/>
    <w:rsid w:val="00E0268F"/>
    <w:rsid w:val="00E14385"/>
    <w:rsid w:val="00E21022"/>
    <w:rsid w:val="00E276A2"/>
    <w:rsid w:val="00E31E6F"/>
    <w:rsid w:val="00E31FDD"/>
    <w:rsid w:val="00E517D3"/>
    <w:rsid w:val="00E525FF"/>
    <w:rsid w:val="00E5302E"/>
    <w:rsid w:val="00E55129"/>
    <w:rsid w:val="00E55142"/>
    <w:rsid w:val="00E6175D"/>
    <w:rsid w:val="00E70ECE"/>
    <w:rsid w:val="00E734A1"/>
    <w:rsid w:val="00E737BC"/>
    <w:rsid w:val="00E80BF0"/>
    <w:rsid w:val="00E90F0B"/>
    <w:rsid w:val="00E9143F"/>
    <w:rsid w:val="00E92948"/>
    <w:rsid w:val="00EC34B7"/>
    <w:rsid w:val="00ED2CE5"/>
    <w:rsid w:val="00ED6383"/>
    <w:rsid w:val="00EE2169"/>
    <w:rsid w:val="00EF3A1D"/>
    <w:rsid w:val="00F0349B"/>
    <w:rsid w:val="00F03683"/>
    <w:rsid w:val="00F1345B"/>
    <w:rsid w:val="00F17263"/>
    <w:rsid w:val="00F21AB0"/>
    <w:rsid w:val="00F30245"/>
    <w:rsid w:val="00F32019"/>
    <w:rsid w:val="00F4029F"/>
    <w:rsid w:val="00F41FE1"/>
    <w:rsid w:val="00F460F1"/>
    <w:rsid w:val="00F50850"/>
    <w:rsid w:val="00F5194B"/>
    <w:rsid w:val="00F52376"/>
    <w:rsid w:val="00F72310"/>
    <w:rsid w:val="00F737D7"/>
    <w:rsid w:val="00F75DDF"/>
    <w:rsid w:val="00F8275B"/>
    <w:rsid w:val="00F93F40"/>
    <w:rsid w:val="00FA0F96"/>
    <w:rsid w:val="00FA1768"/>
    <w:rsid w:val="00FB5D16"/>
    <w:rsid w:val="00FB6CFB"/>
    <w:rsid w:val="00FC52F5"/>
    <w:rsid w:val="00FD02DC"/>
    <w:rsid w:val="00FD4107"/>
    <w:rsid w:val="00FD6E22"/>
    <w:rsid w:val="00FD76BA"/>
    <w:rsid w:val="00FE4815"/>
    <w:rsid w:val="00FE4DF8"/>
    <w:rsid w:val="00FE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15547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15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554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155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4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4"/>
    <w:rsid w:val="00DD1EF8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1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">
    <w:name w:val="u"/>
    <w:basedOn w:val="a"/>
    <w:rsid w:val="00DD1EF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2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2C4"/>
  </w:style>
  <w:style w:type="paragraph" w:styleId="aa">
    <w:name w:val="footer"/>
    <w:basedOn w:val="a"/>
    <w:link w:val="ab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2C4"/>
  </w:style>
  <w:style w:type="paragraph" w:styleId="ac">
    <w:name w:val="Body Text"/>
    <w:basedOn w:val="a"/>
    <w:link w:val="ad"/>
    <w:uiPriority w:val="99"/>
    <w:unhideWhenUsed/>
    <w:rsid w:val="00AB4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B4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80CD2"/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47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E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2">
    <w:name w:val="Основной текст (6) + Полужирный2"/>
    <w:basedOn w:val="a0"/>
    <w:rsid w:val="0015547A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styleId="a3">
    <w:name w:val="Normal (Web)"/>
    <w:basedOn w:val="a"/>
    <w:uiPriority w:val="99"/>
    <w:unhideWhenUsed/>
    <w:rsid w:val="00155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15547A"/>
    <w:pPr>
      <w:spacing w:after="0" w:line="240" w:lineRule="auto"/>
      <w:ind w:left="720"/>
      <w:contextualSpacing/>
    </w:pPr>
    <w:rPr>
      <w:rFonts w:ascii="Times New Roman" w:eastAsia="Calibri" w:hAnsi="Times New Roman" w:cs="Times New Roman"/>
    </w:rPr>
  </w:style>
  <w:style w:type="paragraph" w:customStyle="1" w:styleId="ConsPlusNormal">
    <w:name w:val="ConsPlusNormal"/>
    <w:link w:val="ConsPlusNormal0"/>
    <w:qFormat/>
    <w:rsid w:val="001554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5547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 Знак1 Знак"/>
    <w:basedOn w:val="4"/>
    <w:rsid w:val="00DD1EF8"/>
    <w:pPr>
      <w:keepLines w:val="0"/>
      <w:spacing w:before="240" w:after="60" w:line="240" w:lineRule="auto"/>
      <w:jc w:val="center"/>
    </w:pPr>
    <w:rPr>
      <w:rFonts w:ascii="Times New Roman" w:eastAsia="Times New Roman" w:hAnsi="Times New Roman" w:cs="Times New Roman"/>
      <w:i w:val="0"/>
      <w:iCs w:val="0"/>
      <w:color w:val="auto"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D1E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">
    <w:name w:val="u"/>
    <w:basedOn w:val="a"/>
    <w:rsid w:val="00DD1EF8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52C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52C4"/>
  </w:style>
  <w:style w:type="paragraph" w:styleId="aa">
    <w:name w:val="footer"/>
    <w:basedOn w:val="a"/>
    <w:link w:val="ab"/>
    <w:uiPriority w:val="99"/>
    <w:unhideWhenUsed/>
    <w:rsid w:val="00A952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52C4"/>
  </w:style>
  <w:style w:type="paragraph" w:styleId="ac">
    <w:name w:val="Body Text"/>
    <w:basedOn w:val="a"/>
    <w:link w:val="ad"/>
    <w:uiPriority w:val="99"/>
    <w:unhideWhenUsed/>
    <w:rsid w:val="00AB49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AB49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180CD2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FE0FD-B59B-42EF-902D-9817A069C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17</Pages>
  <Words>5601</Words>
  <Characters>31932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Менди Геннадиевна</dc:creator>
  <cp:lastModifiedBy>Зенченко Алена Вячеславовна</cp:lastModifiedBy>
  <cp:revision>113</cp:revision>
  <cp:lastPrinted>2020-10-24T10:23:00Z</cp:lastPrinted>
  <dcterms:created xsi:type="dcterms:W3CDTF">2020-10-07T07:32:00Z</dcterms:created>
  <dcterms:modified xsi:type="dcterms:W3CDTF">2020-10-29T13:37:00Z</dcterms:modified>
</cp:coreProperties>
</file>