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164928" w:rsidRPr="00164928" w:rsidRDefault="00164928" w:rsidP="00164928">
      <w:pPr>
        <w:pStyle w:val="ConsPlusTitle"/>
        <w:jc w:val="center"/>
        <w:outlineLvl w:val="1"/>
        <w:rPr>
          <w:rFonts w:ascii="Times New Roman" w:hAnsi="Times New Roman" w:cs="Times New Roman"/>
          <w:sz w:val="24"/>
          <w:szCs w:val="24"/>
        </w:rPr>
      </w:pPr>
      <w:r w:rsidRPr="00164928">
        <w:rPr>
          <w:rFonts w:ascii="Times New Roman" w:hAnsi="Times New Roman" w:cs="Times New Roman"/>
          <w:sz w:val="24"/>
          <w:szCs w:val="24"/>
        </w:rPr>
        <w:t>ПАСПОРТ</w:t>
      </w:r>
    </w:p>
    <w:p w:rsidR="00164928" w:rsidRPr="00164928" w:rsidRDefault="00164928" w:rsidP="0016492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64928">
        <w:rPr>
          <w:rFonts w:ascii="Times New Roman" w:hAnsi="Times New Roman" w:cs="Times New Roman"/>
          <w:sz w:val="24"/>
          <w:szCs w:val="24"/>
        </w:rPr>
        <w:t>государственной программы Республики Тыва</w:t>
      </w:r>
    </w:p>
    <w:p w:rsidR="00164928" w:rsidRPr="00164928" w:rsidRDefault="00164928" w:rsidP="0016492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64928">
        <w:rPr>
          <w:rFonts w:ascii="Times New Roman" w:hAnsi="Times New Roman" w:cs="Times New Roman"/>
          <w:sz w:val="24"/>
          <w:szCs w:val="24"/>
        </w:rPr>
        <w:t>"Повышение эффективности и надежности функционирования</w:t>
      </w:r>
    </w:p>
    <w:p w:rsidR="00164928" w:rsidRPr="00164928" w:rsidRDefault="00164928" w:rsidP="0016492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64928">
        <w:rPr>
          <w:rFonts w:ascii="Times New Roman" w:hAnsi="Times New Roman" w:cs="Times New Roman"/>
          <w:sz w:val="24"/>
          <w:szCs w:val="24"/>
        </w:rPr>
        <w:t>жилищно-коммунального хозяйства Республики Тыва</w:t>
      </w:r>
    </w:p>
    <w:p w:rsidR="00164928" w:rsidRPr="00164928" w:rsidRDefault="00164928" w:rsidP="00164928">
      <w:pPr>
        <w:pStyle w:val="ConsPlusTitle"/>
        <w:jc w:val="center"/>
        <w:rPr>
          <w:rFonts w:ascii="Times New Roman" w:hAnsi="Times New Roman" w:cs="Times New Roman"/>
          <w:sz w:val="24"/>
          <w:szCs w:val="24"/>
        </w:rPr>
      </w:pPr>
      <w:r w:rsidRPr="00164928">
        <w:rPr>
          <w:rFonts w:ascii="Times New Roman" w:hAnsi="Times New Roman" w:cs="Times New Roman"/>
          <w:sz w:val="24"/>
          <w:szCs w:val="24"/>
        </w:rPr>
        <w:t>на 2014 - 2025 годы"</w:t>
      </w:r>
    </w:p>
    <w:p w:rsidR="00164928" w:rsidRPr="00164928" w:rsidRDefault="00164928" w:rsidP="00164928">
      <w:pPr>
        <w:pStyle w:val="ConsPlusNormal"/>
        <w:jc w:val="center"/>
        <w:rPr>
          <w:rFonts w:ascii="Times New Roman" w:hAnsi="Times New Roman" w:cs="Times New Roman"/>
          <w:sz w:val="24"/>
          <w:szCs w:val="24"/>
        </w:rPr>
      </w:pPr>
      <w:r w:rsidRPr="00164928">
        <w:rPr>
          <w:rFonts w:ascii="Times New Roman" w:hAnsi="Times New Roman" w:cs="Times New Roman"/>
          <w:sz w:val="24"/>
          <w:szCs w:val="24"/>
        </w:rPr>
        <w:t xml:space="preserve">(в ред. </w:t>
      </w:r>
      <w:hyperlink r:id="rId5" w:history="1">
        <w:r w:rsidRPr="00164928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Постановления</w:t>
        </w:r>
      </w:hyperlink>
      <w:r w:rsidRPr="00164928">
        <w:rPr>
          <w:rFonts w:ascii="Times New Roman" w:hAnsi="Times New Roman" w:cs="Times New Roman"/>
          <w:sz w:val="24"/>
          <w:szCs w:val="24"/>
        </w:rPr>
        <w:t xml:space="preserve"> Правительства РТ от 03.06.2019 N 265)</w:t>
      </w:r>
    </w:p>
    <w:p w:rsidR="00164928" w:rsidRPr="00164928" w:rsidRDefault="00164928" w:rsidP="00164928">
      <w:pPr>
        <w:pStyle w:val="ConsPlusNormal"/>
        <w:rPr>
          <w:rFonts w:ascii="Times New Roman" w:hAnsi="Times New Roman" w:cs="Times New Roman"/>
          <w:sz w:val="24"/>
          <w:szCs w:val="24"/>
        </w:rPr>
      </w:pPr>
    </w:p>
    <w:tbl>
      <w:tblPr>
        <w:tblW w:w="0" w:type="auto"/>
        <w:tblLayout w:type="fixed"/>
        <w:tblCellMar>
          <w:top w:w="102" w:type="dxa"/>
          <w:left w:w="62" w:type="dxa"/>
          <w:bottom w:w="102" w:type="dxa"/>
          <w:right w:w="62" w:type="dxa"/>
        </w:tblCellMar>
        <w:tblLook w:val="04A0" w:firstRow="1" w:lastRow="0" w:firstColumn="1" w:lastColumn="0" w:noHBand="0" w:noVBand="1"/>
      </w:tblPr>
      <w:tblGrid>
        <w:gridCol w:w="1984"/>
        <w:gridCol w:w="360"/>
        <w:gridCol w:w="6649"/>
      </w:tblGrid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Государственный заказчик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Министерство строительства и жилищно-коммунального хозяйства Республики Тыва</w:t>
            </w:r>
          </w:p>
        </w:tc>
      </w:tr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Ответственный исполнитель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Министерство строительства и жилищно-коммунального хозяйства Республики Тыва</w:t>
            </w:r>
          </w:p>
        </w:tc>
      </w:tr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Соисполнители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муниципальных образований Республики Тыва (по согласованию), предприятия коммунального комплекса Республики Тыва (по согласованию)</w:t>
            </w:r>
          </w:p>
        </w:tc>
      </w:tr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Участники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органы местного самоуправления муниципальных образований Республики Тыва (по согласованию), организации жилищно-коммунального комплекса Республики Тыва (по согласованию)</w:t>
            </w:r>
          </w:p>
        </w:tc>
      </w:tr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bookmarkStart w:id="0" w:name="P67"/>
            <w:bookmarkEnd w:id="0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Подпрограммы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505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подпрограмма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"Комплексное развитие и модернизация систем коммунальной инфраструктуры Республики Тыва на 2014 - 2025 годы";</w:t>
            </w:r>
          </w:p>
          <w:bookmarkStart w:id="1" w:name="P70"/>
          <w:bookmarkEnd w:id="1"/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164928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\l "P1133" </w:instrText>
            </w:r>
            <w:r w:rsidRPr="00164928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64928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подпрограмма</w:t>
            </w:r>
            <w:r w:rsidRPr="00164928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fldChar w:fldCharType="end"/>
            </w: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"Снабжение населения Республики Тыва чистой водопроводной водой на 2018 - 2025 годы";</w:t>
            </w:r>
          </w:p>
          <w:bookmarkStart w:id="2" w:name="P71"/>
          <w:bookmarkEnd w:id="2"/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fldChar w:fldCharType="begin"/>
            </w:r>
            <w:r w:rsidRPr="00164928">
              <w:rPr>
                <w:rFonts w:ascii="Times New Roman" w:hAnsi="Times New Roman" w:cs="Times New Roman"/>
                <w:sz w:val="24"/>
                <w:szCs w:val="24"/>
              </w:rPr>
              <w:instrText xml:space="preserve"> HYPERLINK \l "P963" </w:instrText>
            </w:r>
            <w:r w:rsidRPr="00164928">
              <w:rPr>
                <w:rFonts w:ascii="Times New Roman" w:hAnsi="Times New Roman" w:cs="Times New Roman"/>
                <w:sz w:val="24"/>
                <w:szCs w:val="24"/>
              </w:rPr>
              <w:fldChar w:fldCharType="separate"/>
            </w:r>
            <w:r w:rsidRPr="00164928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t>подпрограмма</w:t>
            </w:r>
            <w:r w:rsidRPr="00164928">
              <w:rPr>
                <w:rFonts w:ascii="Times New Roman" w:hAnsi="Times New Roman" w:cs="Times New Roman"/>
                <w:color w:val="0000FF"/>
                <w:sz w:val="24"/>
                <w:szCs w:val="24"/>
              </w:rPr>
              <w:fldChar w:fldCharType="end"/>
            </w: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"Обеспечение организаций жилищно-коммунального хозяйства Республики Тыва специализированной техникой на 2014 - 2025 годы";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1338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подпрограмма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"Формирование современной городской среды на территории муниципальных образований Республики Тыва на 2017 год";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hyperlink w:anchor="P1479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подпрограмма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"Чистая вода на 2019 - 2024 годы</w:t>
            </w:r>
          </w:p>
        </w:tc>
      </w:tr>
      <w:tr w:rsidR="00164928" w:rsidRPr="00164928" w:rsidTr="002416EB">
        <w:tc>
          <w:tcPr>
            <w:tcW w:w="89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(в ред. </w:t>
            </w:r>
            <w:hyperlink r:id="rId6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РТ от 03.06.2019 N 265)</w:t>
            </w:r>
          </w:p>
        </w:tc>
      </w:tr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Цели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создание условий для дальнейшего повышения качества предоставляемых жилищно-коммунальных услуг для населения, обеспечения комфортной среды обитания и жизнедеятельности;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новых </w:t>
            </w:r>
            <w:proofErr w:type="spellStart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и ресурсосберегающих технологий, используемых в предоставлении услуг;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услуг и </w:t>
            </w:r>
            <w:proofErr w:type="spellStart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используемого оборудования и материалов, используемых при выработке услуг, уровня обеспеченности населения коммунальными услугами, надежности и качества коммунальных услуг, доступности стоимости жилищно-коммунальных услуг для населения;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населения питьевой водой, соответствующей </w:t>
            </w: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требованиям безопасности и безвредности, установленным санитарно-эпидемиологическими правилами;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</w:t>
            </w:r>
            <w:proofErr w:type="gramStart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уровня благоустройства территорий муниципальных образований Республики</w:t>
            </w:r>
            <w:proofErr w:type="gramEnd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Тыва, создание условий для системного повышения качества и комфорта городской среды на территории муниципальных образований Республики Тыва путем реализации в 2017 году 27 проектов по благоустройству дворовых территорий и 5 проектов по благоустройству мест общего пользования;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повышение качества питьевой воды для населения республики до 54,7 процента посредством реконструкции систем водоснабжения</w:t>
            </w:r>
          </w:p>
        </w:tc>
      </w:tr>
      <w:tr w:rsidR="00164928" w:rsidRPr="00164928" w:rsidTr="002416EB">
        <w:tc>
          <w:tcPr>
            <w:tcW w:w="89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(в ред. </w:t>
            </w:r>
            <w:hyperlink r:id="rId7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РТ от 03.06.2019 N 265)</w:t>
            </w:r>
          </w:p>
        </w:tc>
      </w:tr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Задачи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снижение монополизации и повышение конкурентоспособности сферы жилищно-коммунального хозяйства (</w:t>
            </w:r>
            <w:hyperlink r:id="rId8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Указ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Президента Российской Федерации от 7 мая 2012 г. N 600 "О мерах по обеспечению граждан Российской Федерации доступным и комфортным жильем и повышению качества жилищно-коммунальных услуг"), отвечающих требованиям </w:t>
            </w:r>
            <w:proofErr w:type="spellStart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энергоэффективности</w:t>
            </w:r>
            <w:proofErr w:type="spellEnd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и </w:t>
            </w:r>
            <w:proofErr w:type="spellStart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экологичности</w:t>
            </w:r>
            <w:proofErr w:type="spellEnd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внедрение новых </w:t>
            </w:r>
            <w:proofErr w:type="spellStart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и ресурсосберегающих технологий;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улучшение качества управления и содержания общего имущества в многоквартирных домах на основе государственной поддержки объединений собственников жилья, в том числе при проведении капитального ремонта и модернизации многоквартирных домов, и развитие конкуренции в сфере управления жилой недвижимостью;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регламентации взаимоотношений </w:t>
            </w:r>
            <w:proofErr w:type="spellStart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ресурсоснабжающих</w:t>
            </w:r>
            <w:proofErr w:type="spellEnd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организаций и лиц, отвечающих за управление многоквартирными домами, в целях повышения ответственности сторон за обеспечение надежности, эффективности и качества коммунальных услуг;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надежности и эффективности производства и поставки коммунальных ресурсов на базе масштабной модернизации систем коммунальной инфраструктуры на основе использования </w:t>
            </w:r>
            <w:proofErr w:type="spellStart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энергоэффективных</w:t>
            </w:r>
            <w:proofErr w:type="spellEnd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и экологически чистых технологий, создания системы планирования развития и модернизации систем коммунальной инфраструктуры;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формирование системы государственной поддержки для развития и модернизации коммунальной инфраструктуры в городах и сельских поселениях;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формирование в коммунальном секторе благоприятных условий для реализации инвестиционных проектов в рамках государственно-частных партнерств, включая формирование эффективной системы тарифного регулирования;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развитие систем централизованного, автономного и нецентрализованного водоснабжения и водоотведения на базе новых технологий и оборудования в городах и поселениях, где существуют проблемы с обеспечением населения питьевой </w:t>
            </w: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водой;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proofErr w:type="gramStart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совершенствование нормативной правовой базы и проведение мероприятий, направленных на рост инвестиционной привлекательности организаций коммунального комплекса (</w:t>
            </w:r>
            <w:hyperlink r:id="rId9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Указ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Президента Российской Федерации от 7 мая 2012 г. N 600 "О мерах по обеспечению граждан Российской Федерации доступным и комфортным жильем и повышению качества жилищно-коммунальных услуг"), осуществляющих водоснабжение, водоотведение и очистку сточных вод, с целью модернизации систем водоснабжения, водоотведения и очистки сточных вод;</w:t>
            </w:r>
            <w:proofErr w:type="gramEnd"/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повышение уровня благоустройства дворовых территорий многоквартирных домов;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повышение уровня благоустройства территорий общего пользования муниципальных образований (парки, скверы, площади, центральные улицы, набережные и т.д.);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повышение качества питьевой воды республики до 54,7 процента посредством модернизации систем водоснабжения с использованием перспективных технологий, включая технологии, разработанные организациями оборонно-промышленного комплекса</w:t>
            </w:r>
          </w:p>
        </w:tc>
      </w:tr>
      <w:tr w:rsidR="00164928" w:rsidRPr="00164928" w:rsidTr="002416EB">
        <w:tc>
          <w:tcPr>
            <w:tcW w:w="89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(в ред. </w:t>
            </w:r>
            <w:hyperlink r:id="rId10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РТ от 03.06.2019 N 265)</w:t>
            </w:r>
          </w:p>
        </w:tc>
      </w:tr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Целевые индикаторы и показатели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увеличение количества населения, имеющего доступ к чистой воде, соответствующей стандартам качества и требованиям безопасности: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2017 г. - на 1108 человек;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2018 г. - на 2169 человек;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2019 г. - на 3812 человек;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2020 г. - на 9208 человек;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2021 г. - на 10152 человека;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2022 г. - на 12145 человек;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2023 г. - на 13254 человека;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2024 г. - на 16458 человек;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2025 г. - на 17598 человек;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обновление технической базы предприятий жилищно-коммунального хозяйства до 2025 года на 83 единицы специализированной техники, в том числе: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2014 г. - на 4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2017 г. - на 6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2018 г. - на 7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2019 г. - на 7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2020 г. - на 12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2021 г. - на 6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2022 г. - на 10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2023 г. - на 9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2024 г. - на 16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2025 г. - на 6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снижение доли потерь тепловой энергии в суммарном объеме отпуска тепловой энергии на 29 процентов с 2018 года до 2025 год. Ежегодное снижение доли потерь на 3,625 процента;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увеличение количества благоустроенных дворовых территорий, в том числе в 2017 году на 30 единиц: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благоустройство дворовых территорий многоквартирных домов - 20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благоустройство территорий общего пользования - 9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обустройство мест массового отдыха населения (городских парков) - 1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строительство 49 локальных систем водоснабжения и проведение ремонта 67 единиц локальных систем водоснабжения всего за период реализации Программы, в том числе: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2018 г. - строительство 5 локальных систем водоснабжения;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2019 г. - строительство 6 локальных систем водоснабжения;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2020 г. - строительство 7 локальных систем водоснабжения и проведение ремонта 13 единиц локальных систем водоснабжения;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2021 г. - строительство 7 локальных систем водоснабжения и проведение ремонта 10 единиц локальных систем водоснабжения;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2022 г. - строительство 6 локальных систем водоснабжения и проведение ремонта 14 единиц локальных систем водоснабжения;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2023 г. - строительство 8 локальных систем водоснабжения и проведение ремонта 9 единиц локальных систем водоснабжения;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2024 г. - строительство 4 локальных систем водоснабжения и проведение ремонта 11 единиц локальных систем водоснабжения;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2025 г. - строительство 6 локальных систем водоснабжения и проведение ремонта 10 единиц локальных систем водоснабжения;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создание рабочих мест - 1782 единицы, в том числе: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2014 г. - 4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2015 г. - 20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2016 г. - 33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2017 г. - 139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2018 г. - 128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2019 г. - 139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2020 г. - 249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2021 г. - 216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2022 г. - 293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2023 г. - 243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2024 г. - 208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2025 г. - 110 ед.;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уровень износа коммунальной инфраструктуры на 2017 год: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по теплоснабжению - 75,6 процента, ежегодное уменьшение на 8,4 процента;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по водоснабжению - 77,0 процента, ежегодное уменьшение на 8,5 процента;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по водоотведению - 57,1 процента, ежегодное уменьшение на 6,3 процента;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повышение качества питьевой воды для населения республики </w:t>
            </w: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до 54,7 процента посредством реконструкции систем водоснабжения</w:t>
            </w:r>
          </w:p>
        </w:tc>
      </w:tr>
      <w:tr w:rsidR="00164928" w:rsidRPr="00164928" w:rsidTr="002416EB">
        <w:tc>
          <w:tcPr>
            <w:tcW w:w="89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(позиция в ред. </w:t>
            </w:r>
            <w:hyperlink r:id="rId11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РТ от 03.06.2019 N 265)</w:t>
            </w:r>
          </w:p>
        </w:tc>
      </w:tr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Этапы и сроки реализации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Программа реализуется в три этапа: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первый этап: 2014 - 2016 годы;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второй этап: 2017 - 2020 годы;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третий этап: 2021 - 2025 годы</w:t>
            </w:r>
          </w:p>
        </w:tc>
      </w:tr>
      <w:tr w:rsidR="00164928" w:rsidRPr="00164928" w:rsidTr="002416EB">
        <w:tc>
          <w:tcPr>
            <w:tcW w:w="89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(в ред. </w:t>
            </w:r>
            <w:hyperlink r:id="rId12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РТ от 03.06.2019 N 265)</w:t>
            </w:r>
          </w:p>
        </w:tc>
      </w:tr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Объемы бюджетных ассигнований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общий объем финансирования Программы в 2014 - 2025 годах составит: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всех источников финансирования - 7149090,5 тыс. рублей: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2014 г. - 7734,7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2015 г. - 40478,5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2016 г. - 95003,4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2017 г. - 228310,2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2018 г. - 313203,6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в 2019 г. - 593792,3 тыс. рублей </w:t>
            </w:r>
            <w:hyperlink w:anchor="P271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2020 г. - 1002994,6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2021 г. - 992975,7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2022 г. - 810402,28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2023 г. - 1389800,6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2024 г. - 1084834,39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2025 г. - 589560,2 тыс. рублей, в том числе: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средств федерального бюджета - 2101702,9 тыс. рублей: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2017 г. - 71334,32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2019 г. - 67168,9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2020 г. - 157212,0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2021 г. - 333787,7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2022 г. - 505700,0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2023 г. - 588380,0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2024 г. - 378120,0 тыс. рублей,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средств республиканского бюджета - 4892510,7 тыс. рублей: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2014 г. - 7734,7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2015 г. - 40478,5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2016 г. - 95003,4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2017 г. - 155046,3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2018 г. - 306721,9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2019 г. - 477765,0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в 2020 г. - 825760,0 тыс. рублей </w:t>
            </w:r>
            <w:hyperlink w:anchor="P271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в 2021 г. - 639797,76 тыс. рублей </w:t>
            </w:r>
            <w:hyperlink w:anchor="P271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в 2022 г. - 295733,32 тыс. рублей </w:t>
            </w:r>
            <w:hyperlink w:anchor="P271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в 2023 г. - 780611,0 тыс. рублей </w:t>
            </w:r>
            <w:hyperlink w:anchor="P271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в 2024 г. - 684831,79 тыс. рублей </w:t>
            </w:r>
            <w:hyperlink w:anchor="P271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в 2025 г. - 583027,0 тыс. рублей </w:t>
            </w:r>
            <w:hyperlink w:anchor="P271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средств муниципальных бюджетов - 68776,81 тыс. рублей: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в 2017 г. - 1929,6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2018 г. - 6481,65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2019 г. - 8358,4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2020 г. - 9622,6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2021 г. - 7390,24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2022 г. - 7968,96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2023 г. - 8709,6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2024 г. - 11782,6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2025 г. - 6533,16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внебюджетных средств - 86100,0 тыс. рублей: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2019 г. - 40500,00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2020 г. - 10400,00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2021 г. - 12000,0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2022 г. - 1000,00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2023 г. - 12100,00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2024 г. - 10100,00 тыс. рублей.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Финансирование Подпрограмм: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hyperlink w:anchor="P505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Комплексное развитие и модернизация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систем коммунальной инфраструктуры Республики Тыва на 2014 - 2025 годы" - 4617802,7 тыс. рублей, в том числе: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республиканского бюджета - 4578802,7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внебюджетных средств - 39000,0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hyperlink w:anchor="P1133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Снабжение населения Республики Тыва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чистой водопроводной водой на 2018 - 2025 годы" - 96843,6 тыс. рублей, в том числе: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республиканского бюджета - 67820,9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муниципального бюджета - 29022,7,0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hyperlink w:anchor="P963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Обеспечение организаций жилищно-коммунального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хозяйства Республики Тыва специализированной техникой на 2014 - 2025 годы" - 198584,5 тыс. рублей, в том числе: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республиканского бюджета - 158830,3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муниципального бюджета - 39754,11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hyperlink w:anchor="P1338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Формирование современной городской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среды на территории муниципальных образований Республики Тыва на 2017 год" - 75088,300 тыс. рублей, в том числе: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федерального бюджета - 71334,320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республиканского бюджета - 3753,964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"</w:t>
            </w:r>
            <w:hyperlink w:anchor="P1479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Чистая вода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на 2019 - 2024 годы" - 2160771,37 тыс. рублей, в том числе: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федерального бюджета - 2030368,6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за счет республиканского бюджета - 83302,77 тыс. рублей </w:t>
            </w:r>
            <w:hyperlink w:anchor="P271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&lt;*&gt;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за счет внебюджетных средств - 47100,0 тыс. рублей.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Финансирование мероприятий Программы будет ежегодно корректироваться исходя из возможностей республиканского бюджета Республики Тыва</w:t>
            </w:r>
          </w:p>
        </w:tc>
      </w:tr>
      <w:tr w:rsidR="00164928" w:rsidRPr="00164928" w:rsidTr="002416EB">
        <w:tc>
          <w:tcPr>
            <w:tcW w:w="89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(позиция в ред. </w:t>
            </w:r>
            <w:hyperlink r:id="rId13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РТ от 30.09.2019 N 472)</w:t>
            </w:r>
          </w:p>
        </w:tc>
      </w:tr>
      <w:tr w:rsidR="00164928" w:rsidRPr="00164928" w:rsidTr="002416EB">
        <w:tc>
          <w:tcPr>
            <w:tcW w:w="1984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Ожидаемые результаты реализации Программы</w:t>
            </w:r>
          </w:p>
        </w:tc>
        <w:tc>
          <w:tcPr>
            <w:tcW w:w="360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-</w:t>
            </w:r>
          </w:p>
        </w:tc>
        <w:tc>
          <w:tcPr>
            <w:tcW w:w="6649" w:type="dxa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результате реализации Программы будут достигнуты следующие показатели: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снижение удельного водопотребления на 1 человека в сутки, литров (в процентах к 2010 г.) на 40,0 процентов;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>повышение надежности работы систем водоснабжения. Всего за период реализации Программы будет построено 49 локальных систем водоснабжения и отремонтировано 67 единиц локальных систем водоснабжения;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обеспечение повышения эффективности и </w:t>
            </w:r>
            <w:proofErr w:type="gramStart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надежности</w:t>
            </w:r>
            <w:proofErr w:type="gramEnd"/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оказываемых населению и организациям жилищно-коммунальных услуг, комфортности и безопасности условий проживания;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создание дополнительных рабочих мест в количестве 1782 единицы;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объем налоговых и неналоговых поступлений в бюджет составит 2250842,8 тыс. рублей, в том числе по годам: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2014 г. - 2397,8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2015 г. - 12548,3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2016 г. - 29451,0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2017 г. - 70776,3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2018 г. - 102865,33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2019 г. - 108189,3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2020 г. - 270887,64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2021 г. - 316850,4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2022 г. - 267102,8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2023 г. - 454641,3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2024 г. - 354662,38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2025 г. - 194554,84 тыс. рублей;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Создание рабочих мест - 1782 единицы, в том числе по годам: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2014 году - 4 единицы;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2015 г. - 20 единиц;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2016 г. - 33 единицы;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2017 г. - 139 единиц;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2018 г. - 128 единиц;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2019 г. - 139 единиц;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2020 г. - 249 единиц;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2021 г. - 216 единиц;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2022 г. - 293 единицы;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2023 г. - 243 единицы;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2024 г. - 208 единиц;</w:t>
            </w:r>
          </w:p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t>в 2025 г. - 110 единиц.</w:t>
            </w:r>
          </w:p>
        </w:tc>
      </w:tr>
      <w:tr w:rsidR="00164928" w:rsidRPr="00164928" w:rsidTr="002416EB">
        <w:tc>
          <w:tcPr>
            <w:tcW w:w="8993" w:type="dxa"/>
            <w:gridSpan w:val="3"/>
            <w:tcBorders>
              <w:top w:val="nil"/>
              <w:left w:val="nil"/>
              <w:bottom w:val="nil"/>
              <w:right w:val="nil"/>
            </w:tcBorders>
          </w:tcPr>
          <w:p w:rsidR="00164928" w:rsidRPr="00164928" w:rsidRDefault="00164928" w:rsidP="00074303">
            <w:pPr>
              <w:pStyle w:val="ConsPlusNormal"/>
              <w:rPr>
                <w:rFonts w:ascii="Times New Roman" w:hAnsi="Times New Roman" w:cs="Times New Roman"/>
                <w:sz w:val="24"/>
                <w:szCs w:val="24"/>
              </w:rPr>
            </w:pPr>
            <w:r w:rsidRPr="00164928">
              <w:rPr>
                <w:rFonts w:ascii="Times New Roman" w:hAnsi="Times New Roman" w:cs="Times New Roman"/>
                <w:sz w:val="24"/>
                <w:szCs w:val="24"/>
              </w:rPr>
              <w:lastRenderedPageBreak/>
              <w:t xml:space="preserve">(позиция в ред. </w:t>
            </w:r>
            <w:hyperlink r:id="rId14" w:history="1">
              <w:r w:rsidRPr="00164928">
                <w:rPr>
                  <w:rFonts w:ascii="Times New Roman" w:hAnsi="Times New Roman" w:cs="Times New Roman"/>
                  <w:color w:val="0000FF"/>
                  <w:sz w:val="24"/>
                  <w:szCs w:val="24"/>
                </w:rPr>
                <w:t>Постановления</w:t>
              </w:r>
            </w:hyperlink>
            <w:r w:rsidRPr="00164928">
              <w:rPr>
                <w:rFonts w:ascii="Times New Roman" w:hAnsi="Times New Roman" w:cs="Times New Roman"/>
                <w:sz w:val="24"/>
                <w:szCs w:val="24"/>
              </w:rPr>
              <w:t xml:space="preserve"> Правительства РТ от 03.06.2019 N 265)</w:t>
            </w:r>
          </w:p>
        </w:tc>
      </w:tr>
    </w:tbl>
    <w:p w:rsidR="00164928" w:rsidRPr="00164928" w:rsidRDefault="00164928" w:rsidP="00164928">
      <w:pPr>
        <w:pStyle w:val="ConsPlusNormal"/>
        <w:spacing w:before="220"/>
        <w:ind w:firstLine="540"/>
        <w:jc w:val="both"/>
        <w:rPr>
          <w:rFonts w:ascii="Times New Roman" w:hAnsi="Times New Roman" w:cs="Times New Roman"/>
          <w:sz w:val="24"/>
          <w:szCs w:val="24"/>
        </w:rPr>
      </w:pPr>
      <w:bookmarkStart w:id="3" w:name="P271"/>
      <w:bookmarkStart w:id="4" w:name="_GoBack"/>
      <w:bookmarkEnd w:id="3"/>
      <w:bookmarkEnd w:id="4"/>
      <w:r w:rsidRPr="00164928">
        <w:rPr>
          <w:rFonts w:ascii="Times New Roman" w:hAnsi="Times New Roman" w:cs="Times New Roman"/>
          <w:sz w:val="24"/>
          <w:szCs w:val="24"/>
        </w:rPr>
        <w:t>&lt;*&gt; - в том числе средства на проектные работы, предусмотренные непрограммной частью.</w:t>
      </w:r>
    </w:p>
    <w:p w:rsidR="00164928" w:rsidRPr="00164928" w:rsidRDefault="00164928" w:rsidP="00164928">
      <w:pPr>
        <w:pStyle w:val="ConsPlusNormal"/>
        <w:jc w:val="both"/>
        <w:rPr>
          <w:rFonts w:ascii="Times New Roman" w:hAnsi="Times New Roman" w:cs="Times New Roman"/>
          <w:sz w:val="24"/>
          <w:szCs w:val="24"/>
        </w:rPr>
      </w:pPr>
      <w:r w:rsidRPr="00164928">
        <w:rPr>
          <w:rFonts w:ascii="Times New Roman" w:hAnsi="Times New Roman" w:cs="Times New Roman"/>
          <w:sz w:val="24"/>
          <w:szCs w:val="24"/>
        </w:rPr>
        <w:t xml:space="preserve">(сноска введена </w:t>
      </w:r>
      <w:hyperlink r:id="rId15" w:history="1">
        <w:r w:rsidRPr="00164928">
          <w:rPr>
            <w:rFonts w:ascii="Times New Roman" w:hAnsi="Times New Roman" w:cs="Times New Roman"/>
            <w:color w:val="0000FF"/>
            <w:sz w:val="24"/>
            <w:szCs w:val="24"/>
          </w:rPr>
          <w:t>Постановлением</w:t>
        </w:r>
      </w:hyperlink>
      <w:r w:rsidRPr="00164928">
        <w:rPr>
          <w:rFonts w:ascii="Times New Roman" w:hAnsi="Times New Roman" w:cs="Times New Roman"/>
          <w:sz w:val="24"/>
          <w:szCs w:val="24"/>
        </w:rPr>
        <w:t xml:space="preserve"> Правительства РТ от 30.09.2019 N 472)</w:t>
      </w:r>
    </w:p>
    <w:p w:rsidR="006A28EB" w:rsidRPr="00164928" w:rsidRDefault="00971319" w:rsidP="00164928">
      <w:pPr>
        <w:rPr>
          <w:rFonts w:ascii="Times New Roman" w:hAnsi="Times New Roman" w:cs="Times New Roman"/>
          <w:sz w:val="24"/>
          <w:szCs w:val="24"/>
        </w:rPr>
      </w:pPr>
    </w:p>
    <w:sectPr w:rsidR="006A28EB" w:rsidRPr="00164928" w:rsidSect="00164928">
      <w:pgSz w:w="11905" w:h="16838"/>
      <w:pgMar w:top="1134" w:right="850" w:bottom="1134" w:left="1701" w:header="0" w:footer="0" w:gutter="0"/>
      <w:cols w:space="720"/>
      <w:docGrid w:linePitch="299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CC"/>
    <w:family w:val="swiss"/>
    <w:pitch w:val="variable"/>
    <w:sig w:usb0="20002A87" w:usb1="00000000" w:usb2="00000000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255673"/>
    <w:rsid w:val="00164928"/>
    <w:rsid w:val="002416EB"/>
    <w:rsid w:val="00255673"/>
    <w:rsid w:val="00971319"/>
    <w:rsid w:val="009B7967"/>
    <w:rsid w:val="00BC17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3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56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5567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556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25567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2556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25567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5567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25567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2556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Nonformat">
    <w:name w:val="ConsPlusNonformat"/>
    <w:rsid w:val="0025567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Title">
    <w:name w:val="ConsPlusTitle"/>
    <w:rsid w:val="002556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b/>
      <w:szCs w:val="20"/>
      <w:lang w:eastAsia="ru-RU"/>
    </w:rPr>
  </w:style>
  <w:style w:type="paragraph" w:customStyle="1" w:styleId="ConsPlusCell">
    <w:name w:val="ConsPlusCell"/>
    <w:rsid w:val="0025567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DocList">
    <w:name w:val="ConsPlusDocList"/>
    <w:rsid w:val="00255673"/>
    <w:pPr>
      <w:widowControl w:val="0"/>
      <w:autoSpaceDE w:val="0"/>
      <w:autoSpaceDN w:val="0"/>
      <w:spacing w:after="0" w:line="240" w:lineRule="auto"/>
    </w:pPr>
    <w:rPr>
      <w:rFonts w:ascii="Calibri" w:eastAsia="Times New Roman" w:hAnsi="Calibri" w:cs="Calibri"/>
      <w:szCs w:val="20"/>
      <w:lang w:eastAsia="ru-RU"/>
    </w:rPr>
  </w:style>
  <w:style w:type="paragraph" w:customStyle="1" w:styleId="ConsPlusTitlePage">
    <w:name w:val="ConsPlusTitlePage"/>
    <w:rsid w:val="0025567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0"/>
      <w:szCs w:val="20"/>
      <w:lang w:eastAsia="ru-RU"/>
    </w:rPr>
  </w:style>
  <w:style w:type="paragraph" w:customStyle="1" w:styleId="ConsPlusJurTerm">
    <w:name w:val="ConsPlusJurTerm"/>
    <w:rsid w:val="00255673"/>
    <w:pPr>
      <w:widowControl w:val="0"/>
      <w:autoSpaceDE w:val="0"/>
      <w:autoSpaceDN w:val="0"/>
      <w:spacing w:after="0" w:line="240" w:lineRule="auto"/>
    </w:pPr>
    <w:rPr>
      <w:rFonts w:ascii="Tahoma" w:eastAsia="Times New Roman" w:hAnsi="Tahoma" w:cs="Tahoma"/>
      <w:sz w:val="26"/>
      <w:szCs w:val="20"/>
      <w:lang w:eastAsia="ru-RU"/>
    </w:rPr>
  </w:style>
  <w:style w:type="paragraph" w:customStyle="1" w:styleId="ConsPlusTextList">
    <w:name w:val="ConsPlusTextList"/>
    <w:rsid w:val="00255673"/>
    <w:pPr>
      <w:widowControl w:val="0"/>
      <w:autoSpaceDE w:val="0"/>
      <w:autoSpaceDN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consultantplus://offline/ref=1229CA38BF6AFE6418C37F77746837E10B7ECD5D5FCC8FD6B6B8573E1F12E16363E55D9D990A7D9557339458B2H8XFM" TargetMode="External"/><Relationship Id="rId13" Type="http://schemas.openxmlformats.org/officeDocument/2006/relationships/hyperlink" Target="consultantplus://offline/ref=1229CA38BF6AFE6418C3617A62046DEF0E779A535FC98287E2E70C63481BEB3436AA5CD3DF0E6294572D965EBBDBBF0BE07D607B6CB32B607471DAHAX8M" TargetMode="External"/><Relationship Id="rId3" Type="http://schemas.openxmlformats.org/officeDocument/2006/relationships/settings" Target="settings.xml"/><Relationship Id="rId7" Type="http://schemas.openxmlformats.org/officeDocument/2006/relationships/hyperlink" Target="consultantplus://offline/ref=1229CA38BF6AFE6418C3617A62046DEF0E779A535FC98582EAE70C63481BEB3436AA5CD3DF0E6294572D975EBBDBBF0BE07D607B6CB32B607471DAHAX8M" TargetMode="External"/><Relationship Id="rId12" Type="http://schemas.openxmlformats.org/officeDocument/2006/relationships/hyperlink" Target="consultantplus://offline/ref=1229CA38BF6AFE6418C3617A62046DEF0E779A535FC98582EAE70C63481BEB3436AA5CD3DF0E6294572D945CBBDBBF0BE07D607B6CB32B607471DAHAX8M" TargetMode="Externa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hyperlink" Target="consultantplus://offline/ref=1229CA38BF6AFE6418C3617A62046DEF0E779A535FC98582EAE70C63481BEB3436AA5CD3DF0E6294572D975ABBDBBF0BE07D607B6CB32B607471DAHAX8M" TargetMode="External"/><Relationship Id="rId11" Type="http://schemas.openxmlformats.org/officeDocument/2006/relationships/hyperlink" Target="consultantplus://offline/ref=1229CA38BF6AFE6418C3617A62046DEF0E779A535FC98582EAE70C63481BEB3436AA5CD3DF0E6294572D9458BBDBBF0BE07D607B6CB32B607471DAHAX8M" TargetMode="External"/><Relationship Id="rId5" Type="http://schemas.openxmlformats.org/officeDocument/2006/relationships/hyperlink" Target="consultantplus://offline/ref=1229CA38BF6AFE6418C3617A62046DEF0E779A535FC98582EAE70C63481BEB3436AA5CD3DF0E6294572D9759BBDBBF0BE07D607B6CB32B607471DAHAX8M" TargetMode="External"/><Relationship Id="rId15" Type="http://schemas.openxmlformats.org/officeDocument/2006/relationships/hyperlink" Target="consultantplus://offline/ref=1229CA38BF6AFE6418C3617A62046DEF0E779A535FC98287E2E70C63481BEB3436AA5CD3DF0E6294572D9759BBDBBF0BE07D607B6CB32B607471DAHAX8M" TargetMode="External"/><Relationship Id="rId10" Type="http://schemas.openxmlformats.org/officeDocument/2006/relationships/hyperlink" Target="consultantplus://offline/ref=1229CA38BF6AFE6418C3617A62046DEF0E779A535FC98582EAE70C63481BEB3436AA5CD3DF0E6294572D9750BBDBBF0BE07D607B6CB32B607471DAHAX8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consultantplus://offline/ref=1229CA38BF6AFE6418C37F77746837E10B7ECD5D5FCC8FD6B6B8573E1F12E16363E55D9D990A7D9557339458B2H8XFM" TargetMode="External"/><Relationship Id="rId14" Type="http://schemas.openxmlformats.org/officeDocument/2006/relationships/hyperlink" Target="consultantplus://offline/ref=1229CA38BF6AFE6418C3617A62046DEF0E779A535FC98582EAE70C63481BEB3436AA5CD3DF0E6294572D9558BBDBBF0BE07D607B6CB32B607471DAHAX8M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7</Pages>
  <Words>2442</Words>
  <Characters>13924</Characters>
  <Application>Microsoft Office Word</Application>
  <DocSecurity>0</DocSecurity>
  <Lines>116</Lines>
  <Paragraphs>32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16334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Монгуш Саглай Романовна</dc:creator>
  <cp:lastModifiedBy>Монгуш Саглай Романовна</cp:lastModifiedBy>
  <cp:revision>4</cp:revision>
  <dcterms:created xsi:type="dcterms:W3CDTF">2020-10-29T12:23:00Z</dcterms:created>
  <dcterms:modified xsi:type="dcterms:W3CDTF">2020-10-29T13:04:00Z</dcterms:modified>
</cp:coreProperties>
</file>